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u w:val="none"/>
        </w:rPr>
      </w:pPr>
      <w:r>
        <w:rPr>
          <w:color w:val="000000"/>
          <w:u w:val="none"/>
        </w:rPr>
      </w:r>
      <w:r/>
    </w:p>
    <w:p>
      <w:pPr>
        <w:rPr>
          <w:color w:val="000000"/>
          <w:u w:val="none"/>
        </w:rPr>
      </w:pPr>
      <w:r>
        <w:rPr>
          <w:color w:val="000000"/>
          <w:u w:val="none"/>
        </w:rPr>
      </w:r>
      <w:r/>
    </w:p>
    <w:p>
      <w:pPr>
        <w:jc w:val="center"/>
        <w:spacing w:line="360" w:lineRule="auto"/>
        <w:rPr>
          <w:rFonts w:ascii="宋体" w:hAnsi="宋体"/>
          <w:b/>
          <w:color w:val="000000"/>
          <w:sz w:val="84"/>
          <w:u w:val="none"/>
        </w:rPr>
      </w:pPr>
      <w:r>
        <w:rPr>
          <w:rFonts w:hint="eastAsia" w:ascii="宋体" w:hAnsi="宋体"/>
          <w:b/>
          <w:color w:val="000000"/>
          <w:sz w:val="84"/>
          <w:u w:val="none"/>
        </w:rPr>
        <w:t xml:space="preserve">磋  商  文  件</w:t>
      </w:r>
      <w:r/>
    </w:p>
    <w:p>
      <w:pPr>
        <w:jc w:val="center"/>
        <w:spacing w:line="360" w:lineRule="auto"/>
        <w:rPr>
          <w:rFonts w:ascii="宋体" w:hAnsi="宋体"/>
          <w:color w:val="000000"/>
          <w:sz w:val="32"/>
          <w:u w:val="none"/>
        </w:rPr>
      </w:pPr>
      <w:r>
        <w:rPr>
          <w:rFonts w:ascii="宋体" w:hAnsi="宋体"/>
          <w:color w:val="000000"/>
          <w:sz w:val="32"/>
          <w:u w:val="none"/>
        </w:rPr>
      </w:r>
      <w:r/>
    </w:p>
    <w:p>
      <w:pPr>
        <w:jc w:val="center"/>
        <w:spacing w:line="360" w:lineRule="auto"/>
        <w:rPr>
          <w:rFonts w:ascii="宋体" w:hAnsi="宋体"/>
          <w:b/>
          <w:color w:val="000000"/>
          <w:sz w:val="36"/>
          <w:u w:val="none"/>
        </w:rPr>
      </w:pPr>
      <w:r>
        <w:rPr>
          <w:rFonts w:ascii="宋体" w:hAnsi="宋体"/>
          <w:b/>
          <w:color w:val="000000"/>
          <w:sz w:val="36"/>
          <w:u w:val="none"/>
        </w:rPr>
      </w:r>
      <w:r/>
    </w:p>
    <w:p>
      <w:pPr>
        <w:jc w:val="center"/>
        <w:spacing w:line="360" w:lineRule="auto"/>
        <w:rPr>
          <w:rFonts w:ascii="宋体" w:hAnsi="宋体"/>
          <w:b/>
          <w:color w:val="000000"/>
          <w:sz w:val="36"/>
          <w:u w:val="none"/>
        </w:rPr>
      </w:pPr>
      <w:r>
        <w:rPr>
          <w:rFonts w:ascii="宋体" w:hAnsi="宋体"/>
          <w:b/>
          <w:color w:val="000000"/>
          <w:sz w:val="36"/>
          <w:u w:val="none"/>
        </w:rPr>
      </w:r>
      <w:r/>
    </w:p>
    <w:p>
      <w:pPr>
        <w:spacing w:line="360" w:lineRule="auto"/>
        <w:rPr>
          <w:rFonts w:hint="eastAsia" w:ascii="宋体" w:hAnsi="宋体" w:eastAsia="宋体"/>
          <w:b/>
          <w:color w:val="000000"/>
          <w:sz w:val="36"/>
          <w:u w:val="none"/>
          <w:lang w:eastAsia="zh-CN"/>
        </w:rPr>
      </w:pPr>
      <w:r>
        <w:rPr>
          <w:rFonts w:hint="eastAsia" w:ascii="宋体" w:hAnsi="宋体"/>
          <w:b/>
          <w:color w:val="000000"/>
          <w:sz w:val="36"/>
          <w:u w:val="none"/>
        </w:rPr>
        <w:t xml:space="preserve">项目编号：</w:t>
      </w:r>
      <w:r>
        <w:rPr>
          <w:rFonts w:hint="eastAsia" w:ascii="宋体" w:hAnsi="宋体"/>
          <w:b/>
          <w:color w:val="000000"/>
          <w:sz w:val="36"/>
          <w:u w:val="none"/>
          <w:lang w:eastAsia="zh-CN"/>
        </w:rPr>
        <w:t xml:space="preserve">JSZC-321183-ZJQX-C2026-0009</w:t>
      </w:r>
      <w:r/>
    </w:p>
    <w:p>
      <w:pPr>
        <w:rPr>
          <w:color w:val="000000"/>
          <w:u w:val="none"/>
        </w:rPr>
      </w:pPr>
      <w:r>
        <w:rPr>
          <w:color w:val="000000"/>
          <w:u w:val="none"/>
        </w:rPr>
      </w:r>
      <w:r/>
    </w:p>
    <w:p>
      <w:pPr>
        <w:ind w:right="630"/>
        <w:spacing w:line="360" w:lineRule="auto"/>
        <w:rPr>
          <w:rFonts w:ascii="宋体" w:hAnsi="宋体"/>
          <w:b/>
          <w:color w:val="000000"/>
          <w:sz w:val="36"/>
          <w:u w:val="none"/>
        </w:rPr>
      </w:pPr>
      <w:r>
        <w:rPr>
          <w:rFonts w:ascii="宋体" w:hAnsi="宋体"/>
          <w:b/>
          <w:color w:val="000000"/>
          <w:sz w:val="36"/>
          <w:u w:val="none"/>
        </w:rPr>
      </w:r>
      <w:r/>
    </w:p>
    <w:p>
      <w:pPr>
        <w:pStyle w:val="856"/>
        <w:rPr>
          <w:color w:val="000000"/>
          <w:u w:val="none"/>
        </w:rPr>
      </w:pPr>
      <w:r>
        <w:rPr>
          <w:color w:val="000000"/>
          <w:u w:val="none"/>
        </w:rPr>
      </w:r>
      <w:r/>
    </w:p>
    <w:p>
      <w:pPr>
        <w:pStyle w:val="856"/>
        <w:rPr>
          <w:color w:val="000000"/>
          <w:u w:val="none"/>
        </w:rPr>
      </w:pPr>
      <w:r>
        <w:rPr>
          <w:color w:val="000000"/>
          <w:u w:val="none"/>
        </w:rPr>
      </w:r>
      <w:r/>
    </w:p>
    <w:p>
      <w:pPr>
        <w:ind w:right="-84" w:hanging="141"/>
        <w:jc w:val="center"/>
        <w:spacing w:line="360" w:lineRule="auto"/>
        <w:rPr>
          <w:rFonts w:hint="eastAsia" w:ascii="宋体" w:hAnsi="宋体" w:eastAsia="宋体"/>
          <w:b/>
          <w:color w:val="000000"/>
          <w:sz w:val="36"/>
          <w:u w:val="none"/>
          <w:lang w:eastAsia="zh-CN"/>
        </w:rPr>
      </w:pPr>
      <w:r>
        <w:rPr>
          <w:rFonts w:hint="eastAsia" w:ascii="宋体" w:hAnsi="宋体"/>
          <w:b/>
          <w:color w:val="000000"/>
          <w:sz w:val="36"/>
          <w:u w:val="none"/>
        </w:rPr>
        <w:t xml:space="preserve">项目名称：</w:t>
      </w:r>
      <w:r>
        <w:rPr>
          <w:rFonts w:hint="eastAsia" w:ascii="宋体" w:hAnsi="宋体"/>
          <w:b/>
          <w:color w:val="000000"/>
          <w:sz w:val="36"/>
          <w:u w:val="none"/>
          <w:lang w:eastAsia="zh-CN"/>
        </w:rPr>
        <w:t xml:space="preserve">江苏省句容高级中学异地新建工程学校设备采购（体育健身器材）</w:t>
      </w:r>
      <w:r/>
    </w:p>
    <w:p>
      <w:pPr>
        <w:ind w:left="630" w:right="630"/>
        <w:jc w:val="center"/>
        <w:spacing w:line="360" w:lineRule="auto"/>
        <w:rPr>
          <w:rFonts w:ascii="宋体" w:hAnsi="宋体"/>
          <w:b/>
          <w:color w:val="000000"/>
          <w:sz w:val="36"/>
          <w:szCs w:val="36"/>
          <w:u w:val="none"/>
        </w:rPr>
      </w:pPr>
      <w:r>
        <w:rPr>
          <w:rFonts w:ascii="宋体" w:hAnsi="宋体"/>
          <w:b/>
          <w:color w:val="000000"/>
          <w:sz w:val="36"/>
          <w:szCs w:val="36"/>
          <w:u w:val="none"/>
        </w:rPr>
      </w:r>
      <w:r/>
    </w:p>
    <w:p>
      <w:pPr>
        <w:ind w:left="630" w:right="630"/>
        <w:jc w:val="center"/>
        <w:spacing w:line="360" w:lineRule="auto"/>
        <w:rPr>
          <w:rFonts w:ascii="宋体" w:hAnsi="宋体"/>
          <w:b/>
          <w:color w:val="000000"/>
          <w:sz w:val="36"/>
          <w:szCs w:val="36"/>
          <w:u w:val="none"/>
        </w:rPr>
      </w:pPr>
      <w:r>
        <w:rPr>
          <w:rFonts w:ascii="宋体" w:hAnsi="宋体"/>
          <w:b/>
          <w:color w:val="000000"/>
          <w:sz w:val="36"/>
          <w:szCs w:val="36"/>
          <w:u w:val="none"/>
        </w:rPr>
      </w:r>
      <w:r/>
    </w:p>
    <w:p>
      <w:pPr>
        <w:pStyle w:val="856"/>
        <w:rPr>
          <w:color w:val="000000"/>
          <w:u w:val="none"/>
        </w:rPr>
      </w:pPr>
      <w:r>
        <w:rPr>
          <w:color w:val="000000"/>
          <w:u w:val="none"/>
        </w:rPr>
      </w:r>
      <w:r/>
    </w:p>
    <w:p>
      <w:pPr>
        <w:ind w:left="630" w:right="630"/>
        <w:jc w:val="center"/>
        <w:spacing w:line="360" w:lineRule="auto"/>
        <w:rPr>
          <w:rFonts w:ascii="宋体" w:hAnsi="宋体"/>
          <w:b/>
          <w:color w:val="000000"/>
          <w:sz w:val="36"/>
          <w:szCs w:val="36"/>
          <w:u w:val="none"/>
        </w:rPr>
      </w:pPr>
      <w:r>
        <w:rPr>
          <w:rFonts w:ascii="宋体" w:hAnsi="宋体"/>
          <w:b/>
          <w:color w:val="000000"/>
          <w:sz w:val="36"/>
          <w:szCs w:val="36"/>
          <w:u w:val="none"/>
        </w:rPr>
      </w:r>
      <w:r/>
    </w:p>
    <w:p>
      <w:pPr>
        <w:pStyle w:val="856"/>
        <w:rPr>
          <w:color w:val="000000"/>
          <w:u w:val="none"/>
        </w:rPr>
      </w:pPr>
      <w:r>
        <w:rPr>
          <w:color w:val="000000"/>
          <w:u w:val="none"/>
        </w:rPr>
      </w:r>
      <w:r/>
    </w:p>
    <w:p>
      <w:pPr>
        <w:spacing w:line="360" w:lineRule="auto"/>
        <w:rPr>
          <w:rFonts w:ascii="宋体" w:hAnsi="宋体"/>
          <w:b/>
          <w:color w:val="000000"/>
          <w:sz w:val="36"/>
          <w:u w:val="none"/>
        </w:rPr>
      </w:pPr>
      <w:r>
        <w:rPr>
          <w:rFonts w:ascii="宋体" w:hAnsi="宋体"/>
          <w:b/>
          <w:color w:val="000000"/>
          <w:sz w:val="36"/>
          <w:u w:val="none"/>
        </w:rPr>
      </w:r>
      <w:r/>
    </w:p>
    <w:p>
      <w:pPr>
        <w:jc w:val="center"/>
        <w:spacing w:line="360" w:lineRule="auto"/>
        <w:rPr>
          <w:rFonts w:ascii="宋体" w:hAnsi="宋体"/>
          <w:b/>
          <w:color w:val="000000"/>
          <w:sz w:val="36"/>
          <w:u w:val="none"/>
        </w:rPr>
      </w:pPr>
      <w:r>
        <w:rPr>
          <w:rFonts w:ascii="宋体" w:hAnsi="宋体"/>
          <w:b/>
          <w:color w:val="000000"/>
          <w:sz w:val="36"/>
          <w:u w:val="none"/>
        </w:rPr>
      </w:r>
      <w:r/>
    </w:p>
    <w:p>
      <w:pPr>
        <w:jc w:val="center"/>
        <w:spacing w:line="360" w:lineRule="auto"/>
        <w:rPr>
          <w:rFonts w:hint="eastAsia" w:ascii="宋体" w:hAnsi="宋体" w:eastAsia="宋体"/>
          <w:b/>
          <w:color w:val="000000"/>
          <w:sz w:val="36"/>
          <w:szCs w:val="36"/>
          <w:u w:val="none"/>
          <w:lang w:eastAsia="zh-CN"/>
        </w:rPr>
      </w:pPr>
      <w:r/>
      <w:bookmarkStart w:id="0" w:name="EBe098a072a19f453e8556e008bace2ce7"/>
      <w:r>
        <w:rPr>
          <w:rFonts w:hint="eastAsia" w:ascii="宋体" w:hAnsi="宋体"/>
          <w:b/>
          <w:color w:val="000000"/>
          <w:sz w:val="36"/>
          <w:szCs w:val="36"/>
          <w:u w:val="none"/>
          <w:lang w:eastAsia="zh-CN"/>
        </w:rPr>
        <w:t xml:space="preserve">江苏镇江千寻工程咨询有限公司</w:t>
      </w:r>
      <w:r/>
    </w:p>
    <w:p>
      <w:pPr>
        <w:jc w:val="center"/>
        <w:spacing w:line="360" w:lineRule="auto"/>
        <w:rPr>
          <w:rFonts w:hint="eastAsia" w:ascii="宋体" w:hAnsi="宋体" w:eastAsia="宋体"/>
          <w:b/>
          <w:color w:val="000000"/>
          <w:sz w:val="36"/>
          <w:szCs w:val="36"/>
          <w:u w:val="none"/>
          <w:lang w:eastAsia="zh-CN"/>
        </w:rPr>
      </w:pPr>
      <w:r>
        <w:rPr>
          <w:rFonts w:hint="eastAsia" w:ascii="宋体" w:hAnsi="宋体"/>
          <w:b/>
          <w:color w:val="000000"/>
          <w:sz w:val="36"/>
          <w:szCs w:val="36"/>
          <w:u w:val="none"/>
        </w:rPr>
        <w:t xml:space="preserve">202</w:t>
      </w:r>
      <w:r>
        <w:rPr>
          <w:rFonts w:hint="eastAsia" w:ascii="宋体" w:hAnsi="宋体"/>
          <w:b/>
          <w:color w:val="000000"/>
          <w:sz w:val="36"/>
          <w:szCs w:val="36"/>
          <w:u w:val="none"/>
          <w:lang w:val="en-US" w:eastAsia="zh-CN"/>
        </w:rPr>
        <w:t xml:space="preserve">6</w:t>
      </w:r>
      <w:r>
        <w:rPr>
          <w:rFonts w:hint="eastAsia" w:ascii="宋体" w:hAnsi="宋体"/>
          <w:b/>
          <w:color w:val="000000"/>
          <w:sz w:val="36"/>
          <w:szCs w:val="36"/>
          <w:u w:val="none"/>
        </w:rPr>
        <w:t xml:space="preserve">-</w:t>
      </w:r>
      <w:bookmarkEnd w:id="0"/>
      <w:r>
        <w:rPr>
          <w:rFonts w:hint="eastAsia" w:ascii="宋体" w:hAnsi="宋体"/>
          <w:b/>
          <w:color w:val="000000"/>
          <w:sz w:val="36"/>
          <w:szCs w:val="36"/>
          <w:u w:val="none"/>
          <w:lang w:val="en-US" w:eastAsia="zh-CN"/>
        </w:rPr>
        <w:t xml:space="preserve">4</w:t>
      </w:r>
      <w:bookmarkStart w:id="424" w:name="_GoBack"/>
      <w:r/>
      <w:bookmarkEnd w:id="424"/>
      <w:r/>
      <w:r/>
    </w:p>
    <w:p>
      <w:pPr>
        <w:pStyle w:val="856"/>
        <w:rPr>
          <w:color w:val="000000"/>
          <w:u w:val="none"/>
        </w:rPr>
      </w:pPr>
      <w:r>
        <w:rPr>
          <w:color w:val="000000"/>
          <w:u w:val="none"/>
        </w:rPr>
      </w:r>
      <w:r/>
    </w:p>
    <w:p>
      <w:pPr>
        <w:jc w:val="center"/>
        <w:pageBreakBefore/>
        <w:spacing w:line="360" w:lineRule="auto"/>
        <w:rPr>
          <w:rFonts w:ascii="宋体" w:hAnsi="宋体"/>
          <w:b/>
          <w:bCs/>
          <w:color w:val="000000"/>
          <w:sz w:val="36"/>
          <w:szCs w:val="36"/>
          <w:u w:val="none"/>
        </w:rPr>
      </w:pPr>
      <w:r>
        <w:rPr>
          <w:rFonts w:hint="eastAsia" w:ascii="宋体" w:hAnsi="宋体"/>
          <w:b/>
          <w:bCs/>
          <w:color w:val="000000"/>
          <w:sz w:val="36"/>
          <w:szCs w:val="36"/>
          <w:u w:val="none"/>
        </w:rPr>
        <w:t xml:space="preserve">磋商文件目录</w:t>
      </w:r>
      <w:r/>
    </w:p>
    <w:p>
      <w:pPr>
        <w:pStyle w:val="1066"/>
        <w:ind w:left="-283" w:firstLine="321"/>
        <w:tabs>
          <w:tab w:val="right" w:pos="9356" w:leader="dot"/>
        </w:tabs>
        <w:rPr>
          <w:rStyle w:val="1074"/>
          <w:rFonts w:ascii="宋体" w:hAnsi="宋体"/>
          <w:color w:val="000000"/>
          <w:sz w:val="32"/>
          <w:szCs w:val="32"/>
          <w:u w:val="none"/>
        </w:rPr>
      </w:pPr>
      <w:r>
        <w:rPr>
          <w:rStyle w:val="1074"/>
          <w:rFonts w:ascii="宋体" w:hAnsi="宋体"/>
          <w:color w:val="000000"/>
          <w:sz w:val="32"/>
          <w:szCs w:val="32"/>
          <w:u w:val="none"/>
        </w:rPr>
        <w:fldChar w:fldCharType="begin"/>
      </w:r>
      <w:r>
        <w:rPr>
          <w:rStyle w:val="1074"/>
          <w:rFonts w:ascii="宋体" w:hAnsi="宋体"/>
          <w:color w:val="000000"/>
          <w:sz w:val="32"/>
          <w:szCs w:val="32"/>
          <w:u w:val="none"/>
        </w:rPr>
        <w:instrText xml:space="preserve"> TOC \o "1-3" \h \z \u </w:instrText>
      </w:r>
      <w:r>
        <w:rPr>
          <w:rStyle w:val="1074"/>
          <w:rFonts w:ascii="宋体" w:hAnsi="宋体"/>
          <w:color w:val="000000"/>
          <w:sz w:val="32"/>
          <w:szCs w:val="32"/>
          <w:u w:val="none"/>
        </w:rPr>
        <w:fldChar w:fldCharType="separate"/>
      </w:r>
      <w:r>
        <w:rPr>
          <w:u w:val="none"/>
        </w:rPr>
        <w:fldChar w:fldCharType="begin"/>
      </w:r>
      <w:r>
        <w:rPr>
          <w:u w:val="none"/>
        </w:rPr>
        <w:instrText xml:space="preserve"> HYPERLINK \l "_Toc256000000" </w:instrText>
      </w:r>
      <w:r>
        <w:rPr>
          <w:u w:val="none"/>
        </w:rPr>
        <w:fldChar w:fldCharType="separate"/>
      </w:r>
      <w:r>
        <w:rPr>
          <w:rStyle w:val="1074"/>
          <w:rFonts w:hint="eastAsia" w:ascii="宋体" w:hAnsi="宋体"/>
          <w:color w:val="000000"/>
          <w:sz w:val="32"/>
          <w:szCs w:val="32"/>
          <w:u w:val="none"/>
        </w:rPr>
        <w:t xml:space="preserve">第一部分  磋商邀请</w:t>
      </w:r>
      <w:r>
        <w:rPr>
          <w:rStyle w:val="1074"/>
          <w:rFonts w:ascii="宋体" w:hAnsi="宋体"/>
          <w:color w:val="000000"/>
          <w:sz w:val="32"/>
          <w:szCs w:val="32"/>
          <w:u w:val="none"/>
        </w:rPr>
        <w:tab/>
      </w:r>
      <w:r>
        <w:rPr>
          <w:rStyle w:val="1074"/>
          <w:rFonts w:hint="eastAsia" w:ascii="宋体" w:hAnsi="宋体"/>
          <w:color w:val="000000"/>
          <w:sz w:val="32"/>
          <w:szCs w:val="32"/>
          <w:u w:val="none"/>
        </w:rPr>
        <w:t xml:space="preserve">3</w:t>
      </w:r>
      <w:r>
        <w:rPr>
          <w:rStyle w:val="1074"/>
          <w:rFonts w:hint="eastAsia" w:ascii="宋体" w:hAnsi="宋体"/>
          <w:color w:val="000000"/>
          <w:sz w:val="32"/>
          <w:szCs w:val="32"/>
          <w:u w:val="none"/>
        </w:rPr>
        <w:fldChar w:fldCharType="end"/>
      </w:r>
      <w:r/>
    </w:p>
    <w:p>
      <w:pPr>
        <w:pStyle w:val="1066"/>
        <w:ind w:left="-283" w:firstLine="321"/>
        <w:tabs>
          <w:tab w:val="right" w:pos="9356" w:leader="dot"/>
        </w:tabs>
        <w:rPr>
          <w:rStyle w:val="1074"/>
          <w:rFonts w:ascii="宋体" w:hAnsi="宋体"/>
          <w:color w:val="000000"/>
          <w:sz w:val="32"/>
          <w:szCs w:val="32"/>
          <w:u w:val="none"/>
        </w:rPr>
      </w:pPr>
      <w:r>
        <w:rPr>
          <w:u w:val="none"/>
        </w:rPr>
        <w:fldChar w:fldCharType="begin"/>
      </w:r>
      <w:r>
        <w:rPr>
          <w:u w:val="none"/>
        </w:rPr>
        <w:instrText xml:space="preserve"> HYPERLINK \l "_Toc256000010" </w:instrText>
      </w:r>
      <w:r>
        <w:rPr>
          <w:u w:val="none"/>
        </w:rPr>
        <w:fldChar w:fldCharType="separate"/>
      </w:r>
      <w:r>
        <w:rPr>
          <w:rStyle w:val="1074"/>
          <w:rFonts w:hint="eastAsia" w:ascii="宋体" w:hAnsi="宋体"/>
          <w:color w:val="000000"/>
          <w:sz w:val="32"/>
          <w:szCs w:val="32"/>
          <w:u w:val="none"/>
        </w:rPr>
        <w:t xml:space="preserve">第二部分  供应商须知</w:t>
      </w:r>
      <w:r>
        <w:rPr>
          <w:rStyle w:val="1074"/>
          <w:rFonts w:ascii="宋体" w:hAnsi="宋体"/>
          <w:color w:val="000000"/>
          <w:sz w:val="32"/>
          <w:szCs w:val="32"/>
          <w:u w:val="none"/>
        </w:rPr>
        <w:tab/>
      </w:r>
      <w:r>
        <w:rPr>
          <w:rStyle w:val="1074"/>
          <w:rFonts w:hint="eastAsia" w:ascii="宋体" w:hAnsi="宋体"/>
          <w:color w:val="000000"/>
          <w:sz w:val="32"/>
          <w:szCs w:val="32"/>
          <w:u w:val="none"/>
        </w:rPr>
        <w:t xml:space="preserve">8</w:t>
      </w:r>
      <w:r>
        <w:rPr>
          <w:rStyle w:val="1074"/>
          <w:rFonts w:hint="eastAsia" w:ascii="宋体" w:hAnsi="宋体"/>
          <w:color w:val="000000"/>
          <w:sz w:val="32"/>
          <w:szCs w:val="32"/>
          <w:u w:val="none"/>
        </w:rPr>
        <w:fldChar w:fldCharType="end"/>
      </w:r>
      <w:r/>
    </w:p>
    <w:p>
      <w:pPr>
        <w:pStyle w:val="1066"/>
        <w:ind w:left="-283" w:firstLine="321"/>
        <w:tabs>
          <w:tab w:val="right" w:pos="9356" w:leader="dot"/>
        </w:tabs>
        <w:rPr>
          <w:rStyle w:val="1074"/>
          <w:rFonts w:ascii="宋体" w:hAnsi="宋体"/>
          <w:color w:val="000000"/>
          <w:sz w:val="32"/>
          <w:szCs w:val="32"/>
          <w:u w:val="none"/>
        </w:rPr>
      </w:pPr>
      <w:r>
        <w:rPr>
          <w:u w:val="none"/>
        </w:rPr>
        <w:fldChar w:fldCharType="begin"/>
      </w:r>
      <w:r>
        <w:rPr>
          <w:u w:val="none"/>
        </w:rPr>
        <w:instrText xml:space="preserve"> HYPERLINK \l "_Toc256000055" </w:instrText>
      </w:r>
      <w:r>
        <w:rPr>
          <w:u w:val="none"/>
        </w:rPr>
        <w:fldChar w:fldCharType="separate"/>
      </w:r>
      <w:r>
        <w:rPr>
          <w:rStyle w:val="1074"/>
          <w:rFonts w:hint="eastAsia" w:ascii="宋体" w:hAnsi="宋体"/>
          <w:color w:val="000000"/>
          <w:sz w:val="32"/>
          <w:szCs w:val="32"/>
          <w:u w:val="none"/>
        </w:rPr>
        <w:t xml:space="preserve">第三部分  拟签订的合同文本</w:t>
      </w:r>
      <w:r>
        <w:rPr>
          <w:rStyle w:val="1074"/>
          <w:rFonts w:ascii="宋体" w:hAnsi="宋体"/>
          <w:color w:val="000000"/>
          <w:sz w:val="32"/>
          <w:szCs w:val="32"/>
          <w:u w:val="none"/>
        </w:rPr>
        <w:tab/>
      </w:r>
      <w:r>
        <w:rPr>
          <w:rStyle w:val="1074"/>
          <w:rFonts w:hint="eastAsia" w:ascii="宋体" w:hAnsi="宋体"/>
          <w:color w:val="000000"/>
          <w:sz w:val="32"/>
          <w:szCs w:val="32"/>
          <w:u w:val="none"/>
        </w:rPr>
        <w:t xml:space="preserve">26</w:t>
      </w:r>
      <w:r>
        <w:rPr>
          <w:rStyle w:val="1074"/>
          <w:rFonts w:hint="eastAsia" w:ascii="宋体" w:hAnsi="宋体"/>
          <w:color w:val="000000"/>
          <w:sz w:val="32"/>
          <w:szCs w:val="32"/>
          <w:u w:val="none"/>
        </w:rPr>
        <w:fldChar w:fldCharType="end"/>
      </w:r>
      <w:r/>
    </w:p>
    <w:p>
      <w:pPr>
        <w:pStyle w:val="1066"/>
        <w:ind w:left="-283" w:firstLine="321"/>
        <w:tabs>
          <w:tab w:val="right" w:pos="9356" w:leader="dot"/>
        </w:tabs>
        <w:rPr>
          <w:rStyle w:val="1074"/>
          <w:rFonts w:ascii="宋体" w:hAnsi="宋体"/>
          <w:color w:val="000000"/>
          <w:sz w:val="32"/>
          <w:szCs w:val="32"/>
          <w:u w:val="none"/>
        </w:rPr>
      </w:pPr>
      <w:r>
        <w:rPr>
          <w:u w:val="none"/>
        </w:rPr>
        <w:fldChar w:fldCharType="begin"/>
      </w:r>
      <w:r>
        <w:rPr>
          <w:u w:val="none"/>
        </w:rPr>
        <w:instrText xml:space="preserve"> HYPERLINK \l "_Toc256000056" </w:instrText>
      </w:r>
      <w:r>
        <w:rPr>
          <w:u w:val="none"/>
        </w:rPr>
        <w:fldChar w:fldCharType="separate"/>
      </w:r>
      <w:r>
        <w:rPr>
          <w:rStyle w:val="1074"/>
          <w:rFonts w:ascii="宋体" w:hAnsi="宋体"/>
          <w:color w:val="000000"/>
          <w:sz w:val="32"/>
          <w:szCs w:val="32"/>
          <w:u w:val="none"/>
        </w:rPr>
        <w:t xml:space="preserve">第四部分</w:t>
      </w:r>
      <w:r>
        <w:rPr>
          <w:rStyle w:val="1074"/>
          <w:rFonts w:hint="eastAsia" w:ascii="宋体" w:hAnsi="宋体"/>
          <w:color w:val="000000"/>
          <w:sz w:val="32"/>
          <w:szCs w:val="32"/>
          <w:u w:val="none"/>
        </w:rPr>
        <w:t xml:space="preserve">  采购需求</w:t>
      </w:r>
      <w:r>
        <w:rPr>
          <w:rStyle w:val="1074"/>
          <w:rFonts w:ascii="宋体" w:hAnsi="宋体"/>
          <w:color w:val="000000"/>
          <w:sz w:val="32"/>
          <w:szCs w:val="32"/>
          <w:u w:val="none"/>
        </w:rPr>
        <w:tab/>
      </w:r>
      <w:r>
        <w:rPr>
          <w:rStyle w:val="1074"/>
          <w:rFonts w:hint="eastAsia" w:ascii="宋体" w:hAnsi="宋体"/>
          <w:color w:val="000000"/>
          <w:sz w:val="32"/>
          <w:szCs w:val="32"/>
          <w:u w:val="none"/>
        </w:rPr>
        <w:t xml:space="preserve">4</w:t>
      </w:r>
      <w:r>
        <w:rPr>
          <w:rStyle w:val="1074"/>
          <w:rFonts w:hint="eastAsia" w:ascii="宋体" w:hAnsi="宋体"/>
          <w:color w:val="000000"/>
          <w:sz w:val="32"/>
          <w:szCs w:val="32"/>
          <w:u w:val="none"/>
        </w:rPr>
        <w:fldChar w:fldCharType="end"/>
      </w:r>
      <w:r>
        <w:rPr>
          <w:rStyle w:val="1074"/>
          <w:rFonts w:hint="eastAsia" w:ascii="宋体" w:hAnsi="宋体"/>
          <w:color w:val="000000"/>
          <w:sz w:val="32"/>
          <w:szCs w:val="32"/>
          <w:u w:val="none"/>
        </w:rPr>
        <w:t xml:space="preserve">9</w:t>
      </w:r>
      <w:r/>
    </w:p>
    <w:p>
      <w:pPr>
        <w:pStyle w:val="1066"/>
        <w:ind w:left="-283" w:firstLine="321"/>
        <w:tabs>
          <w:tab w:val="right" w:pos="9356" w:leader="dot"/>
        </w:tabs>
        <w:rPr>
          <w:rStyle w:val="1074"/>
          <w:rFonts w:ascii="宋体" w:hAnsi="宋体"/>
          <w:color w:val="000000"/>
          <w:sz w:val="32"/>
          <w:szCs w:val="32"/>
          <w:u w:val="none"/>
        </w:rPr>
      </w:pPr>
      <w:r>
        <w:rPr>
          <w:u w:val="none"/>
        </w:rPr>
        <w:fldChar w:fldCharType="begin"/>
      </w:r>
      <w:r>
        <w:rPr>
          <w:u w:val="none"/>
        </w:rPr>
        <w:instrText xml:space="preserve"> HYPERLINK \l "_Toc256000057" </w:instrText>
      </w:r>
      <w:r>
        <w:rPr>
          <w:u w:val="none"/>
        </w:rPr>
        <w:fldChar w:fldCharType="separate"/>
      </w:r>
      <w:r>
        <w:rPr>
          <w:rStyle w:val="1074"/>
          <w:rFonts w:hint="eastAsia" w:ascii="宋体" w:hAnsi="宋体"/>
          <w:color w:val="000000"/>
          <w:sz w:val="32"/>
          <w:szCs w:val="32"/>
          <w:u w:val="none"/>
        </w:rPr>
        <w:t xml:space="preserve">第五部分  磋商及评审</w:t>
      </w:r>
      <w:bookmarkStart w:id="1" w:name="_Hlt145267068"/>
      <w:r>
        <w:rPr>
          <w:rStyle w:val="1074"/>
          <w:rFonts w:ascii="宋体" w:hAnsi="宋体"/>
          <w:color w:val="000000"/>
          <w:sz w:val="32"/>
          <w:szCs w:val="32"/>
          <w:u w:val="none"/>
        </w:rPr>
        <w:tab/>
      </w:r>
      <w:bookmarkEnd w:id="1"/>
      <w:r>
        <w:rPr>
          <w:rStyle w:val="1074"/>
          <w:rFonts w:hint="eastAsia" w:ascii="宋体" w:hAnsi="宋体"/>
          <w:color w:val="000000"/>
          <w:sz w:val="32"/>
          <w:szCs w:val="32"/>
          <w:u w:val="none"/>
        </w:rPr>
        <w:t xml:space="preserve">5</w:t>
      </w:r>
      <w:r>
        <w:rPr>
          <w:rStyle w:val="1074"/>
          <w:rFonts w:hint="eastAsia" w:ascii="宋体" w:hAnsi="宋体"/>
          <w:color w:val="000000"/>
          <w:sz w:val="32"/>
          <w:szCs w:val="32"/>
          <w:u w:val="none"/>
        </w:rPr>
        <w:fldChar w:fldCharType="end"/>
      </w:r>
      <w:r>
        <w:rPr>
          <w:rStyle w:val="1074"/>
          <w:rFonts w:hint="eastAsia" w:ascii="宋体" w:hAnsi="宋体"/>
          <w:color w:val="000000"/>
          <w:sz w:val="32"/>
          <w:szCs w:val="32"/>
          <w:u w:val="none"/>
        </w:rPr>
        <w:t xml:space="preserve">3</w:t>
      </w:r>
      <w:r/>
    </w:p>
    <w:p>
      <w:pPr>
        <w:pStyle w:val="1066"/>
        <w:ind w:left="-283" w:firstLine="321"/>
        <w:tabs>
          <w:tab w:val="right" w:pos="9356" w:leader="dot"/>
        </w:tabs>
        <w:rPr>
          <w:rStyle w:val="1074"/>
          <w:rFonts w:ascii="宋体" w:hAnsi="宋体"/>
          <w:color w:val="000000"/>
          <w:sz w:val="32"/>
          <w:szCs w:val="32"/>
          <w:u w:val="none"/>
        </w:rPr>
      </w:pPr>
      <w:r>
        <w:rPr>
          <w:rStyle w:val="1074"/>
          <w:rFonts w:hint="eastAsia" w:ascii="宋体" w:hAnsi="宋体"/>
          <w:color w:val="000000"/>
          <w:sz w:val="32"/>
          <w:szCs w:val="32"/>
          <w:u w:val="none"/>
        </w:rPr>
        <w:t xml:space="preserve">第六部分  磋商响应文件（格式）</w:t>
      </w:r>
      <w:r>
        <w:rPr>
          <w:rStyle w:val="1074"/>
          <w:rFonts w:ascii="宋体" w:hAnsi="宋体"/>
          <w:color w:val="000000"/>
          <w:sz w:val="32"/>
          <w:szCs w:val="32"/>
          <w:u w:val="none"/>
        </w:rPr>
        <w:tab/>
      </w:r>
      <w:r>
        <w:rPr>
          <w:rStyle w:val="1074"/>
          <w:rFonts w:hint="eastAsia" w:ascii="宋体" w:hAnsi="宋体"/>
          <w:color w:val="000000"/>
          <w:sz w:val="32"/>
          <w:szCs w:val="32"/>
          <w:u w:val="none"/>
        </w:rPr>
        <w:t xml:space="preserve">59</w:t>
      </w:r>
      <w:r/>
    </w:p>
    <w:p>
      <w:pPr>
        <w:pStyle w:val="1066"/>
        <w:ind w:left="-283" w:firstLine="321"/>
        <w:tabs>
          <w:tab w:val="right" w:pos="9356" w:leader="dot"/>
        </w:tabs>
        <w:rPr>
          <w:rStyle w:val="1074"/>
          <w:rFonts w:ascii="宋体" w:hAnsi="宋体"/>
          <w:color w:val="000000"/>
          <w:sz w:val="32"/>
          <w:szCs w:val="32"/>
          <w:u w:val="none"/>
        </w:rPr>
      </w:pPr>
      <w:r>
        <w:rPr>
          <w:rFonts w:ascii="宋体" w:hAnsi="宋体"/>
          <w:color w:val="000000"/>
          <w:sz w:val="32"/>
          <w:szCs w:val="32"/>
          <w:u w:val="none"/>
        </w:rPr>
      </w:r>
      <w:r/>
    </w:p>
    <w:p>
      <w:pPr>
        <w:pStyle w:val="1066"/>
        <w:ind w:left="-283" w:firstLine="321"/>
        <w:jc w:val="center"/>
        <w:tabs>
          <w:tab w:val="right" w:pos="9356" w:leader="dot"/>
        </w:tabs>
        <w:rPr>
          <w:color w:val="000000"/>
          <w:u w:val="none"/>
        </w:rPr>
      </w:pPr>
      <w:r>
        <w:rPr>
          <w:rStyle w:val="1074"/>
          <w:rFonts w:ascii="宋体" w:hAnsi="宋体"/>
          <w:color w:val="000000"/>
          <w:sz w:val="32"/>
          <w:szCs w:val="32"/>
          <w:u w:val="none"/>
        </w:rPr>
        <w:fldChar w:fldCharType="end"/>
      </w:r>
      <w:r>
        <w:rPr>
          <w:color w:val="000000"/>
          <w:u w:val="none"/>
        </w:rPr>
        <w:br w:type="page" w:clear="all"/>
      </w:r>
      <w:bookmarkStart w:id="2" w:name="_Toc256000000"/>
      <w:r/>
      <w:bookmarkStart w:id="3" w:name="_Toc73365456"/>
      <w:r/>
      <w:bookmarkStart w:id="4" w:name="_Toc73364843"/>
      <w:r>
        <w:rPr>
          <w:rFonts w:hint="eastAsia" w:ascii="宋体" w:hAnsi="宋体"/>
          <w:color w:val="000000"/>
          <w:sz w:val="36"/>
          <w:u w:val="none"/>
        </w:rPr>
        <w:t xml:space="preserve">第一部分  磋商邀请</w:t>
      </w:r>
      <w:bookmarkEnd w:id="2"/>
      <w:r/>
      <w:bookmarkEnd w:id="3"/>
      <w:r/>
      <w:bookmarkEnd w:id="4"/>
      <w:r/>
      <w:r/>
    </w:p>
    <w:p>
      <w:pPr>
        <w:rPr>
          <w:color w:val="000000"/>
          <w:u w:val="none"/>
        </w:rPr>
      </w:pPr>
      <w:r/>
      <w:bookmarkStart w:id="5" w:name="EB90a90c36211a4db3a2108a4f75c8af65"/>
      <w:r>
        <w:rPr>
          <w:rFonts w:hint="eastAsia"/>
          <w:color w:val="000000"/>
          <w:sz w:val="20"/>
          <w:u w:val="none"/>
        </w:rPr>
        <w:t xml:space="preserve"> </w:t>
      </w:r>
      <w:bookmarkEnd w:id="5"/>
      <w:r/>
      <w:bookmarkStart w:id="6" w:name="EBb19c9a8f63314b7a8160b48722b227e9"/>
      <w:r>
        <w:rPr>
          <w:rFonts w:hint="eastAsia"/>
          <w:color w:val="000000"/>
          <w:sz w:val="20"/>
          <w:u w:val="none"/>
        </w:rPr>
        <w:t xml:space="preserve"> </w:t>
      </w:r>
      <w:bookmarkEnd w:id="6"/>
      <w:r/>
      <w:r/>
    </w:p>
    <w:p>
      <w:pPr>
        <w:ind w:firstLine="480"/>
        <w:spacing w:line="360" w:lineRule="auto"/>
        <w:rPr>
          <w:rFonts w:ascii="宋体" w:hAnsi="宋体"/>
          <w:color w:val="000000"/>
          <w:sz w:val="24"/>
          <w:szCs w:val="28"/>
          <w:u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8"/>
          <w:u w:val="none"/>
        </w:rPr>
        <w:t xml:space="preserve">项目概况</w:t>
      </w:r>
      <w:r/>
    </w:p>
    <w:p>
      <w:pPr>
        <w:ind w:firstLine="480"/>
        <w:spacing w:line="360" w:lineRule="auto"/>
        <w:rPr>
          <w:rFonts w:ascii="宋体" w:hAnsi="宋体"/>
          <w:color w:val="000000"/>
          <w:sz w:val="24"/>
          <w:szCs w:val="28"/>
          <w:u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8"/>
          <w:u w:val="none"/>
          <w:lang w:eastAsia="zh-CN"/>
        </w:rPr>
        <w:t xml:space="preserve">江苏省句容高级中学异地新建工程学校设备采购（体育健身器材）</w:t>
      </w:r>
      <w:r>
        <w:rPr>
          <w:rFonts w:hint="eastAsia" w:ascii="宋体" w:hAnsi="宋体"/>
          <w:color w:val="000000"/>
          <w:sz w:val="24"/>
          <w:szCs w:val="28"/>
          <w:u w:val="none"/>
        </w:rPr>
        <w:t xml:space="preserve">的潜在供应商应在江苏政府采购网-苏采云平台</w:t>
      </w:r>
      <w:r>
        <w:rPr>
          <w:u w:val="none"/>
        </w:rPr>
        <w:fldChar w:fldCharType="begin"/>
      </w:r>
      <w:r>
        <w:rPr>
          <w:u w:val="none"/>
        </w:rPr>
        <w:instrText xml:space="preserve"> HYPERLINK "http://jszfcg.jsczt.cn/jszc/login获取磋商文件，并于2024-10-" </w:instrText>
      </w:r>
      <w:r>
        <w:rPr>
          <w:u w:val="none"/>
        </w:rPr>
        <w:fldChar w:fldCharType="separate"/>
      </w:r>
      <w:r>
        <w:rPr>
          <w:rStyle w:val="854"/>
          <w:rFonts w:hint="eastAsia" w:ascii="宋体" w:hAnsi="宋体"/>
          <w:color w:val="000000"/>
          <w:sz w:val="24"/>
          <w:szCs w:val="28"/>
          <w:highlight w:val="white"/>
          <w:u w:val="none"/>
        </w:rPr>
      </w:r>
      <w:hyperlink r:id="rId15" w:tooltip="http://jszfcg.jsczt.cn/jszc/login获取磋商文件，并于2026-" w:history="1">
        <w:r>
          <w:rPr>
            <w:rStyle w:val="800"/>
            <w:rFonts w:hint="eastAsia" w:ascii="宋体" w:hAnsi="宋体"/>
            <w:sz w:val="24"/>
            <w:szCs w:val="28"/>
            <w:highlight w:val="white"/>
          </w:rPr>
          <w:t xml:space="preserve">http://jszfcg.jsczt.cn/jszc/login获取磋商文件，并于</w:t>
        </w:r>
        <w:r>
          <w:rPr>
            <w:rStyle w:val="800"/>
            <w:rFonts w:hint="eastAsia" w:ascii="宋体" w:hAnsi="宋体"/>
            <w:sz w:val="24"/>
            <w:szCs w:val="28"/>
            <w:highlight w:val="yellow"/>
          </w:rPr>
          <w:t xml:space="preserve">2026-</w:t>
        </w:r>
      </w:hyperlink>
      <w:r>
        <w:rPr>
          <w:rStyle w:val="854"/>
          <w:rFonts w:hint="eastAsia" w:ascii="宋体" w:hAnsi="宋体"/>
          <w:color w:val="000000"/>
          <w:sz w:val="24"/>
          <w:szCs w:val="28"/>
          <w:highlight w:val="none"/>
          <w:u w:val="none"/>
        </w:rPr>
        <w:t xml:space="preserve">4</w:t>
      </w:r>
      <w:r>
        <w:rPr>
          <w:rStyle w:val="854"/>
          <w:rFonts w:hint="eastAsia" w:ascii="宋体" w:hAnsi="宋体"/>
          <w:color w:val="000000"/>
          <w:sz w:val="24"/>
          <w:szCs w:val="28"/>
          <w:highlight w:val="yellow"/>
          <w:u w:val="none"/>
        </w:rPr>
        <w:t xml:space="preserve"> -24</w:t>
      </w:r>
      <w:r>
        <w:rPr>
          <w:rStyle w:val="854"/>
          <w:rFonts w:hint="eastAsia" w:ascii="宋体" w:hAnsi="宋体"/>
          <w:color w:val="000000"/>
          <w:sz w:val="24"/>
          <w:szCs w:val="28"/>
          <w:highlight w:val="yellow"/>
          <w:u w:val="none"/>
        </w:rPr>
        <w:fldChar w:fldCharType="end"/>
        <w:t xml:space="preserve"> </w:t>
      </w:r>
      <w:r>
        <w:rPr>
          <w:rFonts w:ascii="宋体" w:hAnsi="宋体"/>
          <w:color w:val="000000"/>
          <w:sz w:val="24"/>
          <w:szCs w:val="28"/>
          <w:highlight w:val="yellow"/>
          <w:u w:val="none"/>
        </w:rPr>
        <w:t xml:space="preserve"> </w:t>
      </w:r>
      <w:r>
        <w:rPr>
          <w:rFonts w:hint="eastAsia" w:ascii="宋体" w:hAnsi="宋体"/>
          <w:color w:val="000000"/>
          <w:sz w:val="24"/>
          <w:szCs w:val="28"/>
          <w:highlight w:val="yellow"/>
          <w:u w:val="none"/>
        </w:rPr>
        <w:t xml:space="preserve">9:00</w:t>
      </w:r>
      <w:r>
        <w:rPr>
          <w:rFonts w:hint="eastAsia" w:ascii="宋体" w:hAnsi="宋体"/>
          <w:color w:val="000000"/>
          <w:sz w:val="24"/>
          <w:szCs w:val="28"/>
          <w:u w:val="none"/>
        </w:rPr>
        <w:t xml:space="preserve">（北京时间）前递交响应文件。</w:t>
      </w:r>
      <w:r/>
    </w:p>
    <w:p>
      <w:pPr>
        <w:pStyle w:val="1034"/>
        <w:jc w:val="left"/>
        <w:rPr>
          <w:rFonts w:ascii="宋体" w:hAnsi="宋体" w:eastAsia="宋体"/>
          <w:b w:val="0"/>
          <w:color w:val="000000"/>
          <w:u w:val="none"/>
          <w:lang w:eastAsia="zh-CN"/>
        </w:rPr>
      </w:pPr>
      <w:r/>
      <w:bookmarkStart w:id="7" w:name="_Toc73365457"/>
      <w:r/>
      <w:bookmarkStart w:id="8" w:name="_Toc256000001"/>
      <w:r/>
      <w:bookmarkStart w:id="9" w:name="_Toc73364844"/>
      <w:r>
        <w:rPr>
          <w:rFonts w:hint="eastAsia" w:ascii="宋体" w:hAnsi="宋体" w:eastAsia="宋体"/>
          <w:b w:val="0"/>
          <w:color w:val="000000"/>
          <w:u w:val="none"/>
          <w:lang w:eastAsia="zh-CN"/>
        </w:rPr>
        <w:t xml:space="preserve">一、项目基本情况</w:t>
      </w:r>
      <w:bookmarkEnd w:id="7"/>
      <w:r/>
      <w:bookmarkEnd w:id="8"/>
      <w:r/>
      <w:bookmarkEnd w:id="9"/>
      <w:r/>
      <w:r/>
    </w:p>
    <w:p>
      <w:pPr>
        <w:ind w:firstLine="480"/>
        <w:spacing w:line="360" w:lineRule="auto"/>
        <w:rPr>
          <w:rFonts w:hint="eastAsia" w:ascii="宋体" w:hAnsi="宋体" w:eastAsia="宋体"/>
          <w:b/>
          <w:color w:val="000000"/>
          <w:sz w:val="36"/>
          <w:u w:val="none"/>
          <w:lang w:eastAsia="zh-CN"/>
        </w:rPr>
      </w:pPr>
      <w:r>
        <w:rPr>
          <w:rFonts w:hint="eastAsia" w:ascii="宋体" w:hAnsi="宋体"/>
          <w:color w:val="000000"/>
          <w:sz w:val="24"/>
          <w:szCs w:val="28"/>
          <w:u w:val="none"/>
        </w:rPr>
        <w:t xml:space="preserve">项目编号：</w:t>
      </w:r>
      <w:r>
        <w:rPr>
          <w:rFonts w:hint="eastAsia" w:ascii="宋体" w:hAnsi="宋体"/>
          <w:b/>
          <w:color w:val="000000"/>
          <w:sz w:val="28"/>
          <w:u w:val="none"/>
          <w:lang w:eastAsia="zh-CN"/>
        </w:rPr>
        <w:t xml:space="preserve">JSZC-321183-ZJQX-C2026-0009</w:t>
      </w:r>
      <w:r/>
    </w:p>
    <w:p>
      <w:pPr>
        <w:ind w:firstLine="480"/>
        <w:spacing w:line="360" w:lineRule="auto"/>
        <w:rPr>
          <w:rFonts w:hint="eastAsia" w:ascii="宋体" w:hAnsi="宋体" w:eastAsia="宋体"/>
          <w:color w:val="000000"/>
          <w:sz w:val="24"/>
          <w:szCs w:val="28"/>
          <w:u w:val="none"/>
          <w:lang w:eastAsia="zh-CN"/>
        </w:rPr>
      </w:pPr>
      <w:r>
        <w:rPr>
          <w:rFonts w:hint="eastAsia" w:ascii="宋体" w:hAnsi="宋体"/>
          <w:color w:val="000000"/>
          <w:sz w:val="24"/>
          <w:szCs w:val="28"/>
          <w:u w:val="none"/>
        </w:rPr>
        <w:t xml:space="preserve">项目名称：</w:t>
      </w:r>
      <w:r>
        <w:rPr>
          <w:rFonts w:hint="eastAsia" w:ascii="宋体" w:hAnsi="宋体"/>
          <w:color w:val="000000"/>
          <w:sz w:val="24"/>
          <w:szCs w:val="28"/>
          <w:u w:val="none"/>
          <w:lang w:eastAsia="zh-CN"/>
        </w:rPr>
        <w:t xml:space="preserve">江苏省句容高级中学异地新建工程学校设备采购（体育健身器材）</w:t>
      </w:r>
      <w:r/>
    </w:p>
    <w:p>
      <w:pPr>
        <w:ind w:firstLine="480"/>
        <w:spacing w:line="360" w:lineRule="auto"/>
        <w:rPr>
          <w:rFonts w:ascii="宋体" w:hAnsi="宋体"/>
          <w:color w:val="000000" w:themeColor="text1"/>
          <w:sz w:val="24"/>
          <w:szCs w:val="28"/>
          <w:u w:val="none"/>
        </w:rPr>
      </w:pPr>
      <w:r>
        <w:rPr>
          <w:rFonts w:hint="eastAsia" w:ascii="宋体" w:hAnsi="宋体"/>
          <w:color w:val="000000" w:themeColor="text1"/>
          <w:sz w:val="24"/>
          <w:szCs w:val="28"/>
          <w:u w:val="none"/>
        </w:rPr>
        <w:t xml:space="preserve">预算金额：</w:t>
      </w:r>
      <w:bookmarkStart w:id="10" w:name="EB5d7de6d5267c4c1c83e61a4a8ac1212b"/>
      <w:r>
        <w:rPr>
          <w:rFonts w:hint="eastAsia" w:ascii="宋体" w:hAnsi="宋体"/>
          <w:color w:val="000000" w:themeColor="text1"/>
          <w:sz w:val="24"/>
          <w:szCs w:val="28"/>
          <w:highlight w:val="white"/>
          <w:u w:val="none"/>
        </w:rPr>
        <w:t xml:space="preserve">2000000元</w:t>
      </w:r>
      <w:bookmarkEnd w:id="10"/>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最高限价：</w:t>
      </w:r>
      <w:r>
        <w:rPr>
          <w:rFonts w:hint="eastAsia" w:ascii="宋体" w:hAnsi="宋体"/>
          <w:color w:val="000000" w:themeColor="text1"/>
          <w:sz w:val="24"/>
          <w:szCs w:val="28"/>
          <w:highlight w:val="white"/>
          <w:u w:val="none"/>
        </w:rPr>
        <w:t xml:space="preserve">2000000元</w:t>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采购需求：</w:t>
      </w:r>
      <w:bookmarkStart w:id="11" w:name="EBd7b548ce0011456a9f402dd37794dbc3"/>
      <w:r>
        <w:rPr>
          <w:rFonts w:hint="eastAsia" w:ascii="宋体" w:hAnsi="宋体"/>
          <w:color w:val="000000" w:themeColor="text1"/>
          <w:sz w:val="24"/>
          <w:szCs w:val="28"/>
          <w:u w:val="none"/>
        </w:rPr>
        <w:t xml:space="preserve">详细内容及要求见招标文件</w:t>
      </w:r>
      <w:r>
        <w:rPr>
          <w:rFonts w:ascii="宋体" w:hAnsi="宋体"/>
          <w:color w:val="000000"/>
          <w:sz w:val="20"/>
          <w:szCs w:val="28"/>
          <w:u w:val="none"/>
        </w:rPr>
        <w:t xml:space="preserve"> </w:t>
      </w:r>
      <w:bookmarkEnd w:id="11"/>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合同履行期限：</w:t>
      </w:r>
      <w:r>
        <w:rPr>
          <w:rFonts w:hint="eastAsia" w:ascii="宋体" w:hAnsi="宋体"/>
          <w:color w:val="000000" w:themeColor="text1"/>
          <w:sz w:val="24"/>
          <w:szCs w:val="28"/>
          <w:u w:val="none"/>
        </w:rPr>
        <w:t xml:space="preserve">详细内容及要求见招标文件</w:t>
      </w:r>
      <w:r/>
    </w:p>
    <w:p>
      <w:pPr>
        <w:ind w:firstLine="480"/>
        <w:spacing w:line="360" w:lineRule="auto"/>
        <w:rPr>
          <w:color w:val="000000"/>
          <w:u w:val="none"/>
        </w:rPr>
      </w:pPr>
      <w:r>
        <w:rPr>
          <w:rFonts w:hint="eastAsia" w:ascii="宋体" w:hAnsi="宋体"/>
          <w:color w:val="000000"/>
          <w:sz w:val="24"/>
          <w:u w:val="none"/>
        </w:rPr>
        <w:t xml:space="preserve">本项目是否接受联合体：</w:t>
      </w:r>
      <w:r>
        <w:rPr>
          <w:rFonts w:hint="eastAsia" w:ascii="宋体" w:hAnsi="宋体"/>
          <w:color w:val="000000"/>
          <w:sz w:val="24"/>
          <w:szCs w:val="28"/>
          <w:u w:val="none"/>
        </w:rPr>
        <w:t xml:space="preserve">不接受</w:t>
      </w:r>
      <w:bookmarkStart w:id="12" w:name="EB85b2e39ba7d546c49ea4d24be10d3b59"/>
      <w:r>
        <w:rPr>
          <w:rFonts w:ascii="宋体" w:hAnsi="宋体"/>
          <w:color w:val="000000"/>
          <w:sz w:val="24"/>
          <w:szCs w:val="28"/>
          <w:u w:val="none"/>
        </w:rPr>
        <w:t xml:space="preserve"> </w:t>
      </w:r>
      <w:bookmarkEnd w:id="12"/>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本项目供应商邀请方式：</w:t>
      </w:r>
      <w:bookmarkStart w:id="13" w:name="EB4808d737793b46c3b9feac6e63a963d3"/>
      <w:r>
        <w:rPr>
          <w:rFonts w:hint="eastAsia" w:ascii="宋体" w:hAnsi="宋体"/>
          <w:color w:val="000000"/>
          <w:sz w:val="24"/>
          <w:szCs w:val="28"/>
          <w:u w:val="none"/>
        </w:rPr>
        <w:t xml:space="preserve">发布公告</w:t>
      </w:r>
      <w:bookmarkEnd w:id="13"/>
      <w:r/>
      <w:bookmarkStart w:id="14" w:name="EBd8f11baf8c5c48a39a68838346426e79"/>
      <w:r>
        <w:rPr>
          <w:rFonts w:ascii="宋体" w:hAnsi="宋体"/>
          <w:color w:val="000000"/>
          <w:sz w:val="20"/>
          <w:szCs w:val="28"/>
          <w:u w:val="none"/>
        </w:rPr>
        <w:t xml:space="preserve"> </w:t>
      </w:r>
      <w:bookmarkEnd w:id="14"/>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本次采购确定的成交供应商数量：</w:t>
      </w:r>
      <w:bookmarkStart w:id="15" w:name="EB5c24124ec8a5472f86d055936d89b2d9"/>
      <w:r>
        <w:rPr>
          <w:rFonts w:hint="eastAsia" w:ascii="宋体" w:hAnsi="宋体"/>
          <w:color w:val="000000"/>
          <w:sz w:val="24"/>
          <w:szCs w:val="28"/>
          <w:u w:val="none"/>
        </w:rPr>
        <w:t xml:space="preserve">1名</w:t>
      </w:r>
      <w:bookmarkEnd w:id="15"/>
      <w:r>
        <w:rPr>
          <w:rFonts w:ascii="宋体" w:hAnsi="宋体"/>
          <w:color w:val="000000"/>
          <w:sz w:val="24"/>
          <w:szCs w:val="28"/>
          <w:u w:val="none"/>
        </w:rPr>
        <w:t xml:space="preserve"> </w:t>
      </w:r>
      <w:r/>
    </w:p>
    <w:p>
      <w:pPr>
        <w:pStyle w:val="1034"/>
        <w:jc w:val="left"/>
        <w:rPr>
          <w:rFonts w:ascii="宋体" w:hAnsi="宋体" w:eastAsia="宋体"/>
          <w:b w:val="0"/>
          <w:color w:val="000000"/>
          <w:u w:val="none"/>
          <w:lang w:eastAsia="zh-CN"/>
        </w:rPr>
      </w:pPr>
      <w:r/>
      <w:bookmarkStart w:id="16" w:name="_Toc256000002"/>
      <w:r/>
      <w:bookmarkStart w:id="17" w:name="_Toc73365458"/>
      <w:r/>
      <w:bookmarkStart w:id="18" w:name="_Toc73364845"/>
      <w:r>
        <w:rPr>
          <w:rFonts w:hint="eastAsia" w:ascii="宋体" w:hAnsi="宋体" w:eastAsia="宋体"/>
          <w:b w:val="0"/>
          <w:color w:val="000000"/>
          <w:u w:val="none"/>
          <w:lang w:eastAsia="zh-CN"/>
        </w:rPr>
        <w:t xml:space="preserve">二、申请人的资格要求：</w:t>
      </w:r>
      <w:bookmarkEnd w:id="16"/>
      <w:r/>
      <w:bookmarkEnd w:id="17"/>
      <w:r/>
      <w:bookmarkEnd w:id="18"/>
      <w:r/>
      <w:r/>
    </w:p>
    <w:p>
      <w:pPr>
        <w:ind w:firstLine="480"/>
        <w:spacing w:line="440" w:lineRule="exact"/>
        <w:rPr>
          <w:rFonts w:ascii="宋体" w:hAnsi="宋体"/>
          <w:color w:val="000000"/>
          <w:sz w:val="24"/>
          <w:szCs w:val="28"/>
          <w:u w:val="none"/>
        </w:rPr>
      </w:pPr>
      <w:r>
        <w:rPr>
          <w:rFonts w:hint="eastAsia" w:ascii="宋体" w:hAnsi="宋体"/>
          <w:color w:val="000000"/>
          <w:sz w:val="24"/>
          <w:szCs w:val="28"/>
          <w:u w:val="none"/>
        </w:rPr>
        <w:t xml:space="preserve">1. 满足《中华人民共和国政府采购法》第二十二条规定；</w:t>
      </w:r>
      <w:r/>
    </w:p>
    <w:p>
      <w:pPr>
        <w:ind w:firstLine="480"/>
        <w:spacing w:line="440" w:lineRule="exact"/>
        <w:rPr>
          <w:rFonts w:ascii="宋体" w:hAnsi="宋体"/>
          <w:color w:val="000000"/>
          <w:sz w:val="24"/>
          <w:szCs w:val="28"/>
          <w:u w:val="none"/>
        </w:rPr>
      </w:pPr>
      <w:r/>
      <w:bookmarkStart w:id="19" w:name="EBc1bc06189b4a41ccac26e04e92f3d69f"/>
      <w:r>
        <w:rPr>
          <w:rFonts w:hint="eastAsia" w:ascii="宋体" w:hAnsi="宋体"/>
          <w:color w:val="000000"/>
          <w:sz w:val="24"/>
          <w:szCs w:val="28"/>
          <w:u w:val="none"/>
        </w:rPr>
        <w:t xml:space="preserve">1.1 具有独立承担民事责任的能力（提供法人或者其他组织的营业执照等证明文件；供应商为自然人的，提供其身份证。）；  </w:t>
      </w:r>
      <w:r/>
    </w:p>
    <w:p>
      <w:pPr>
        <w:ind w:firstLine="480"/>
        <w:spacing w:line="440" w:lineRule="exact"/>
        <w:rPr>
          <w:rFonts w:ascii="宋体" w:hAnsi="宋体"/>
          <w:color w:val="000000"/>
          <w:sz w:val="24"/>
          <w:szCs w:val="28"/>
          <w:u w:val="none"/>
        </w:rPr>
      </w:pPr>
      <w:r>
        <w:rPr>
          <w:rFonts w:hint="eastAsia" w:ascii="宋体" w:hAnsi="宋体"/>
          <w:color w:val="000000"/>
          <w:sz w:val="24"/>
          <w:szCs w:val="28"/>
          <w:u w:val="none"/>
        </w:rPr>
        <w:t xml:space="preserve">1.2 具有良好的商业信誉和健全的财务会计制度（提供2024</w:t>
      </w:r>
      <w:r>
        <w:rPr>
          <w:rFonts w:hint="eastAsia" w:ascii="宋体" w:hAnsi="宋体"/>
          <w:color w:val="000000"/>
          <w:sz w:val="24"/>
          <w:szCs w:val="28"/>
          <w:u w:val="none"/>
          <w:lang w:val="en-US" w:eastAsia="zh-CN"/>
        </w:rPr>
        <w:t xml:space="preserve">或2025年</w:t>
      </w:r>
      <w:r>
        <w:rPr>
          <w:rFonts w:hint="eastAsia" w:ascii="宋体" w:hAnsi="宋体"/>
          <w:color w:val="000000"/>
          <w:sz w:val="24"/>
          <w:szCs w:val="28"/>
          <w:u w:val="none"/>
        </w:rPr>
        <w:t xml:space="preserve">度财务报告，成立不满一年的提供至少一个月财务报告，或银行出具的资信证明，或财政部门认可的政府采购专业担保机构出具的磋商担保函等，或者提供资格承诺函。）；  </w:t>
      </w:r>
      <w:r/>
    </w:p>
    <w:p>
      <w:pPr>
        <w:ind w:firstLine="480"/>
        <w:spacing w:line="440" w:lineRule="exact"/>
        <w:rPr>
          <w:rFonts w:ascii="宋体" w:hAnsi="宋体"/>
          <w:color w:val="000000"/>
          <w:sz w:val="24"/>
          <w:szCs w:val="28"/>
          <w:u w:val="none"/>
        </w:rPr>
      </w:pPr>
      <w:r>
        <w:rPr>
          <w:rFonts w:hint="eastAsia" w:ascii="宋体" w:hAnsi="宋体"/>
          <w:color w:val="000000"/>
          <w:sz w:val="24"/>
          <w:szCs w:val="28"/>
          <w:u w:val="none"/>
        </w:rPr>
        <w:t xml:space="preserve">1.3 具有履行合同所必需的设备和专业技术能力（提供具有履行合同所必需的设备和专业技术能力的书面声明或者提供资格承诺函。）；  </w:t>
      </w:r>
      <w:r/>
    </w:p>
    <w:p>
      <w:pPr>
        <w:ind w:firstLine="480"/>
        <w:spacing w:line="440" w:lineRule="exact"/>
        <w:rPr>
          <w:rFonts w:ascii="宋体" w:hAnsi="宋体"/>
          <w:color w:val="000000"/>
          <w:sz w:val="24"/>
          <w:szCs w:val="28"/>
          <w:u w:val="none"/>
        </w:rPr>
      </w:pPr>
      <w:r>
        <w:rPr>
          <w:rFonts w:hint="eastAsia" w:ascii="宋体" w:hAnsi="宋体"/>
          <w:color w:val="000000"/>
          <w:sz w:val="24"/>
          <w:szCs w:val="28"/>
          <w:u w:val="none"/>
        </w:rPr>
        <w:t xml:space="preserve">1.4 有依法缴纳税收和社会保障资金的良好记录（提供参加本次政府采购活动前半年内至少一个月依法缴纳税收和社会保险的凭据，或者提供资格承诺函。）；  </w:t>
      </w:r>
      <w:r/>
    </w:p>
    <w:p>
      <w:pPr>
        <w:ind w:firstLine="480"/>
        <w:spacing w:line="440" w:lineRule="exact"/>
        <w:rPr>
          <w:rFonts w:ascii="宋体" w:hAnsi="宋体"/>
          <w:color w:val="000000"/>
          <w:sz w:val="24"/>
          <w:szCs w:val="28"/>
          <w:u w:val="none"/>
        </w:rPr>
      </w:pPr>
      <w:r>
        <w:rPr>
          <w:rFonts w:hint="eastAsia" w:ascii="宋体" w:hAnsi="宋体"/>
          <w:color w:val="000000"/>
          <w:sz w:val="24"/>
          <w:szCs w:val="28"/>
          <w:u w:val="none"/>
        </w:rPr>
        <w:t xml:space="preserve">1.5 参加政府采购活动前三年内，在经营活动中没有重大违法记录（见磋商承诺函或者提供资格承诺函。）；  </w:t>
      </w:r>
      <w:r/>
    </w:p>
    <w:p>
      <w:pPr>
        <w:ind w:firstLine="480"/>
        <w:spacing w:line="440" w:lineRule="exact"/>
        <w:rPr>
          <w:rFonts w:ascii="宋体" w:hAnsi="宋体"/>
          <w:color w:val="000000"/>
          <w:sz w:val="24"/>
          <w:szCs w:val="24"/>
          <w:u w:val="none"/>
        </w:rPr>
      </w:pPr>
      <w:r>
        <w:rPr>
          <w:rFonts w:hint="eastAsia" w:ascii="宋体" w:hAnsi="宋体"/>
          <w:color w:val="000000"/>
          <w:sz w:val="24"/>
          <w:szCs w:val="28"/>
          <w:u w:val="none"/>
        </w:rPr>
        <w:t xml:space="preserve">1.6 法律、行政法规规定的其他条件：无。  </w:t>
      </w:r>
      <w:r/>
    </w:p>
    <w:p>
      <w:pPr>
        <w:ind w:firstLine="480"/>
        <w:spacing w:line="440" w:lineRule="exact"/>
        <w:rPr>
          <w:rFonts w:ascii="宋体" w:hAnsi="宋体"/>
          <w:color w:val="000000"/>
          <w:sz w:val="24"/>
          <w:szCs w:val="28"/>
          <w:u w:val="none"/>
        </w:rPr>
      </w:pPr>
      <w:r>
        <w:rPr>
          <w:rFonts w:hint="eastAsia" w:ascii="宋体" w:hAnsi="宋体"/>
          <w:color w:val="000000"/>
          <w:sz w:val="24"/>
          <w:szCs w:val="28"/>
          <w:u w:val="none"/>
        </w:rPr>
        <w:t xml:space="preserve">2.落实政府采购政策需满足的资格要求：本项目属于专门面向中小微企业采购的项目。</w:t>
      </w:r>
      <w:r/>
    </w:p>
    <w:p>
      <w:pPr>
        <w:ind w:firstLine="480"/>
        <w:spacing w:line="440" w:lineRule="exact"/>
        <w:rPr>
          <w:rFonts w:hint="eastAsia" w:ascii="宋体" w:hAnsi="宋体" w:eastAsia="宋体"/>
          <w:color w:val="000000"/>
          <w:sz w:val="24"/>
          <w:szCs w:val="28"/>
          <w:u w:val="none"/>
          <w:lang w:val="en-US" w:eastAsia="zh-CN"/>
        </w:rPr>
      </w:pPr>
      <w:r>
        <w:rPr>
          <w:rFonts w:hint="eastAsia" w:ascii="宋体" w:hAnsi="宋体"/>
          <w:color w:val="000000"/>
          <w:sz w:val="24"/>
          <w:szCs w:val="28"/>
          <w:u w:val="none"/>
        </w:rPr>
        <w:t xml:space="preserve">3.本项目的特定资格要求：</w:t>
      </w:r>
      <w:bookmarkEnd w:id="19"/>
      <w:r>
        <w:rPr>
          <w:rFonts w:hint="eastAsia" w:ascii="宋体" w:hAnsi="宋体"/>
          <w:color w:val="000000"/>
          <w:sz w:val="24"/>
          <w:szCs w:val="28"/>
          <w:u w:val="none"/>
          <w:lang w:val="en-US" w:eastAsia="zh-CN"/>
        </w:rPr>
        <w:t xml:space="preserve">无</w:t>
      </w:r>
      <w:r/>
    </w:p>
    <w:p>
      <w:pPr>
        <w:ind w:firstLine="480"/>
        <w:spacing w:line="440" w:lineRule="exact"/>
        <w:rPr>
          <w:rFonts w:ascii="宋体" w:hAnsi="宋体"/>
          <w:color w:val="000000"/>
          <w:sz w:val="24"/>
          <w:szCs w:val="28"/>
          <w:u w:val="none"/>
        </w:rPr>
      </w:pPr>
      <w:r>
        <w:rPr>
          <w:rFonts w:hint="eastAsia" w:ascii="宋体" w:hAnsi="宋体"/>
          <w:color w:val="000000"/>
          <w:sz w:val="24"/>
          <w:szCs w:val="28"/>
          <w:u w:val="none"/>
        </w:rPr>
        <w:t xml:space="preserve">4.拒绝下述供应商参加本次采购活动： </w:t>
      </w:r>
      <w:r/>
    </w:p>
    <w:p>
      <w:pPr>
        <w:ind w:firstLine="480"/>
        <w:spacing w:line="440" w:lineRule="exact"/>
        <w:rPr>
          <w:rFonts w:ascii="宋体" w:hAnsi="宋体"/>
          <w:color w:val="000000"/>
          <w:sz w:val="24"/>
          <w:szCs w:val="28"/>
          <w:u w:val="none"/>
        </w:rPr>
      </w:pPr>
      <w:r>
        <w:rPr>
          <w:rFonts w:hint="eastAsia" w:ascii="宋体" w:hAnsi="宋体"/>
          <w:color w:val="000000"/>
          <w:sz w:val="24"/>
          <w:szCs w:val="28"/>
          <w:u w:val="none"/>
        </w:rPr>
        <w:t xml:space="preserve">（1）供应商单位负责人为同一人或者存在直接控股、管理关系的不同供应商，不得参加同一合同项下的政府采购活动； </w:t>
      </w:r>
      <w:r/>
    </w:p>
    <w:p>
      <w:pPr>
        <w:ind w:firstLine="480"/>
        <w:spacing w:line="440" w:lineRule="exact"/>
        <w:rPr>
          <w:rFonts w:ascii="宋体" w:hAnsi="宋体"/>
          <w:color w:val="000000"/>
          <w:sz w:val="24"/>
          <w:szCs w:val="28"/>
          <w:u w:val="none"/>
        </w:rPr>
      </w:pPr>
      <w:r>
        <w:rPr>
          <w:rFonts w:hint="eastAsia" w:ascii="宋体" w:hAnsi="宋体"/>
          <w:color w:val="000000"/>
          <w:sz w:val="24"/>
          <w:szCs w:val="28"/>
          <w:u w:val="none"/>
        </w:rPr>
        <w:t xml:space="preserve">（2）为采购项目提供整体设计、规范编制或者项目管理、监理、检测等服务的供应商，不得参加本项目的采购活动； </w:t>
      </w:r>
      <w:r/>
    </w:p>
    <w:p>
      <w:pPr>
        <w:ind w:firstLine="480"/>
        <w:spacing w:line="440" w:lineRule="exact"/>
        <w:rPr>
          <w:rFonts w:ascii="宋体" w:hAnsi="宋体"/>
          <w:b/>
          <w:color w:val="000000"/>
          <w:u w:val="none"/>
        </w:rPr>
      </w:pPr>
      <w:r>
        <w:rPr>
          <w:rFonts w:hint="eastAsia" w:ascii="宋体" w:hAnsi="宋体"/>
          <w:color w:val="000000"/>
          <w:sz w:val="24"/>
          <w:szCs w:val="28"/>
          <w:u w:val="none"/>
        </w:rPr>
        <w:t xml:space="preserve">（3）供应商被“信用中国”网站（www.creditchina.gov.cn）、“中国政府采购网”(www.ccgp.gov.cn)列入失信被执行人、重大税收违法案件当事人名单、政府采购严重违法失信行为记录名单</w:t>
      </w:r>
      <w:bookmarkStart w:id="20" w:name="_Toc73364846"/>
      <w:r/>
      <w:bookmarkStart w:id="21" w:name="_Toc256000003"/>
      <w:r/>
      <w:bookmarkStart w:id="22" w:name="_Toc73365459"/>
      <w:r>
        <w:rPr>
          <w:rFonts w:hint="eastAsia" w:ascii="宋体" w:hAnsi="宋体"/>
          <w:color w:val="000000"/>
          <w:sz w:val="24"/>
          <w:szCs w:val="28"/>
          <w:u w:val="none"/>
        </w:rPr>
        <w:t xml:space="preserve">。</w:t>
      </w:r>
      <w:r/>
    </w:p>
    <w:p>
      <w:pPr>
        <w:pStyle w:val="1034"/>
        <w:jc w:val="left"/>
        <w:rPr>
          <w:rFonts w:ascii="宋体" w:hAnsi="宋体" w:eastAsia="宋体"/>
          <w:b w:val="0"/>
          <w:color w:val="000000"/>
          <w:u w:val="none"/>
          <w:lang w:eastAsia="zh-CN"/>
        </w:rPr>
      </w:pPr>
      <w:r>
        <w:rPr>
          <w:rFonts w:hint="eastAsia" w:ascii="宋体" w:hAnsi="宋体" w:eastAsia="宋体"/>
          <w:b w:val="0"/>
          <w:color w:val="000000"/>
          <w:u w:val="none"/>
          <w:lang w:eastAsia="zh-CN"/>
        </w:rPr>
        <w:t xml:space="preserve">三、获取磋商文件</w:t>
      </w:r>
      <w:bookmarkEnd w:id="20"/>
      <w:r/>
      <w:bookmarkEnd w:id="21"/>
      <w:r/>
      <w:bookmarkEnd w:id="22"/>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时间：公告之时起至</w:t>
      </w:r>
      <w:r>
        <w:rPr>
          <w:rFonts w:ascii="宋体" w:hAnsi="宋体" w:eastAsia="宋体" w:cs="宋体"/>
          <w:color w:val="000000"/>
          <w:sz w:val="24"/>
          <w:highlight w:val="yellow"/>
        </w:rPr>
        <w:t xml:space="preserve">2026- 4- 17  23：59</w:t>
      </w:r>
      <w:r>
        <w:rPr>
          <w:rFonts w:hint="eastAsia" w:ascii="宋体" w:hAnsi="宋体"/>
          <w:color w:val="000000"/>
          <w:sz w:val="24"/>
          <w:szCs w:val="28"/>
          <w:u w:val="none"/>
        </w:rPr>
        <w:t xml:space="preserve">（北京时间）</w:t>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地点：江苏政府采购网-苏采云平台获取磋商文件</w:t>
      </w:r>
      <w:r/>
    </w:p>
    <w:p>
      <w:pPr>
        <w:ind w:firstLine="480"/>
        <w:jc w:val="left"/>
        <w:spacing w:line="360" w:lineRule="auto"/>
        <w:rPr>
          <w:rFonts w:ascii="宋体" w:hAnsi="宋体"/>
          <w:color w:val="000000"/>
          <w:sz w:val="24"/>
          <w:szCs w:val="28"/>
          <w:u w:val="none"/>
        </w:rPr>
      </w:pPr>
      <w:r>
        <w:rPr>
          <w:rFonts w:hint="eastAsia" w:ascii="宋体" w:hAnsi="宋体"/>
          <w:color w:val="000000"/>
          <w:sz w:val="24"/>
          <w:szCs w:val="28"/>
          <w:u w:val="none"/>
        </w:rPr>
        <w:t xml:space="preserve">方式：在线获取  </w:t>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（1）登录</w:t>
      </w:r>
      <w:r>
        <w:rPr>
          <w:rFonts w:ascii="宋体" w:hAnsi="宋体"/>
          <w:color w:val="000000"/>
          <w:sz w:val="24"/>
          <w:szCs w:val="28"/>
          <w:u w:val="none"/>
        </w:rPr>
        <w:t xml:space="preserve">http://www.ccgp-jiangsu.gov.cn/</w:t>
      </w:r>
      <w:r>
        <w:rPr>
          <w:rFonts w:hint="eastAsia" w:ascii="宋体" w:hAnsi="宋体"/>
          <w:color w:val="000000"/>
          <w:sz w:val="24"/>
          <w:szCs w:val="28"/>
          <w:u w:val="none"/>
        </w:rPr>
        <w:t xml:space="preserve">首页点击“苏采云”进入系统。</w:t>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（2）获取采购文件的方式：“苏采云”系统用户注册--获取“CA数字证书”--CA绑定与登录--网上报名--下载采购文件(后缀名为.kedt”)。</w:t>
      </w:r>
      <w:r/>
    </w:p>
    <w:p>
      <w:pPr>
        <w:ind w:firstLine="480"/>
        <w:jc w:val="left"/>
        <w:spacing w:line="360" w:lineRule="auto"/>
        <w:rPr>
          <w:rStyle w:val="1074"/>
          <w:rFonts w:ascii="宋体" w:hAnsi="宋体"/>
          <w:color w:val="000000"/>
          <w:sz w:val="24"/>
          <w:szCs w:val="28"/>
          <w:u w:val="none"/>
        </w:rPr>
      </w:pPr>
      <w:r>
        <w:rPr>
          <w:rFonts w:hint="eastAsia" w:ascii="宋体" w:hAnsi="宋体"/>
          <w:color w:val="000000"/>
          <w:sz w:val="24"/>
          <w:szCs w:val="28"/>
          <w:u w:val="none"/>
        </w:rPr>
        <w:t xml:space="preserve">操作指南：</w:t>
      </w:r>
      <w:r>
        <w:rPr>
          <w:u w:val="none"/>
        </w:rPr>
        <w:fldChar w:fldCharType="begin"/>
      </w:r>
      <w:r>
        <w:rPr>
          <w:u w:val="none"/>
        </w:rPr>
        <w:instrText xml:space="preserve"> HYPERLINK "https://ggzy.zhenjiang.gov.cn/xzzq/20230830/c4df61fd-89bd-41b1-b5e7-700bb01af128.html" </w:instrText>
      </w:r>
      <w:r>
        <w:rPr>
          <w:u w:val="none"/>
        </w:rPr>
        <w:fldChar w:fldCharType="separate"/>
      </w:r>
      <w:r>
        <w:rPr>
          <w:rStyle w:val="1074"/>
          <w:rFonts w:ascii="宋体" w:hAnsi="宋体"/>
          <w:color w:val="000000"/>
          <w:sz w:val="24"/>
          <w:szCs w:val="28"/>
          <w:u w:val="none"/>
        </w:rPr>
        <w:t xml:space="preserve">https://ggzy.zhenjiang.gov.cn/xzzq/20230830/c4df61fd-89bd-41b1-b5e7-700bb01af128.html</w:t>
      </w:r>
      <w:r>
        <w:rPr>
          <w:rStyle w:val="1074"/>
          <w:rFonts w:ascii="宋体" w:hAnsi="宋体"/>
          <w:color w:val="000000"/>
          <w:sz w:val="24"/>
          <w:szCs w:val="28"/>
          <w:u w:val="none"/>
        </w:rPr>
        <w:fldChar w:fldCharType="end"/>
      </w:r>
      <w:r/>
    </w:p>
    <w:p>
      <w:pPr>
        <w:ind w:firstLine="480"/>
        <w:jc w:val="left"/>
        <w:spacing w:line="360" w:lineRule="auto"/>
        <w:rPr>
          <w:rFonts w:ascii="宋体" w:hAnsi="宋体"/>
          <w:color w:val="000000"/>
          <w:sz w:val="24"/>
          <w:szCs w:val="28"/>
          <w:u w:val="none"/>
        </w:rPr>
      </w:pPr>
      <w:r>
        <w:rPr>
          <w:rFonts w:hint="eastAsia" w:ascii="宋体" w:hAnsi="宋体"/>
          <w:color w:val="000000"/>
          <w:sz w:val="24"/>
          <w:szCs w:val="28"/>
          <w:u w:val="none"/>
        </w:rPr>
        <w:t xml:space="preserve">售价：</w:t>
      </w:r>
      <w:bookmarkStart w:id="23" w:name="EBfbf5c223f9c74f99858ac447a593fb5c"/>
      <w:r>
        <w:rPr>
          <w:rFonts w:hint="eastAsia" w:ascii="宋体" w:hAnsi="宋体"/>
          <w:color w:val="000000"/>
          <w:sz w:val="24"/>
          <w:szCs w:val="28"/>
          <w:u w:val="none"/>
        </w:rPr>
        <w:t xml:space="preserve">免费</w:t>
      </w:r>
      <w:bookmarkEnd w:id="23"/>
      <w:r>
        <w:rPr>
          <w:rFonts w:ascii="宋体" w:hAnsi="宋体"/>
          <w:color w:val="000000"/>
          <w:sz w:val="24"/>
          <w:szCs w:val="28"/>
          <w:u w:val="none"/>
        </w:rPr>
        <w:t xml:space="preserve"> </w:t>
      </w:r>
      <w:r/>
    </w:p>
    <w:p>
      <w:pPr>
        <w:pStyle w:val="1034"/>
        <w:jc w:val="left"/>
        <w:rPr>
          <w:rFonts w:ascii="宋体" w:hAnsi="宋体" w:eastAsia="宋体"/>
          <w:b w:val="0"/>
          <w:color w:val="000000"/>
          <w:u w:val="none"/>
          <w:lang w:eastAsia="zh-CN"/>
        </w:rPr>
      </w:pPr>
      <w:r/>
      <w:bookmarkStart w:id="24" w:name="_Toc73365460"/>
      <w:r/>
      <w:bookmarkStart w:id="25" w:name="_Toc73364847"/>
      <w:r/>
      <w:bookmarkStart w:id="26" w:name="_Toc256000004"/>
      <w:r>
        <w:rPr>
          <w:rFonts w:hint="eastAsia" w:ascii="宋体" w:hAnsi="宋体" w:eastAsia="宋体"/>
          <w:b w:val="0"/>
          <w:color w:val="000000"/>
          <w:u w:val="none"/>
          <w:lang w:eastAsia="zh-CN"/>
        </w:rPr>
        <w:t xml:space="preserve">四、首次响应文件提交</w:t>
      </w:r>
      <w:bookmarkEnd w:id="24"/>
      <w:r/>
      <w:bookmarkEnd w:id="25"/>
      <w:r/>
      <w:bookmarkEnd w:id="26"/>
      <w:r/>
      <w:r/>
    </w:p>
    <w:p>
      <w:pPr>
        <w:ind w:firstLine="480"/>
        <w:spacing w:line="360" w:lineRule="auto"/>
        <w:rPr>
          <w:rFonts w:ascii="宋体" w:hAnsi="宋体"/>
          <w:bCs/>
          <w:color w:val="000000"/>
          <w:sz w:val="24"/>
          <w:szCs w:val="28"/>
          <w:u w:val="none"/>
        </w:rPr>
      </w:pPr>
      <w:r>
        <w:rPr>
          <w:rFonts w:hint="eastAsia" w:ascii="宋体" w:hAnsi="宋体"/>
          <w:color w:val="000000"/>
          <w:sz w:val="24"/>
          <w:u w:val="none"/>
        </w:rPr>
        <w:t xml:space="preserve">电子响应文件</w:t>
      </w:r>
      <w:r/>
    </w:p>
    <w:p>
      <w:pPr>
        <w:ind w:firstLine="480"/>
        <w:spacing w:line="360" w:lineRule="auto"/>
        <w:rPr>
          <w:rFonts w:ascii="宋体" w:hAnsi="宋体"/>
          <w:bCs/>
          <w:color w:val="000000"/>
          <w:sz w:val="24"/>
          <w:szCs w:val="28"/>
          <w:u w:val="none"/>
        </w:rPr>
      </w:pPr>
      <w:r>
        <w:rPr>
          <w:rFonts w:hint="eastAsia" w:ascii="宋体" w:hAnsi="宋体"/>
          <w:bCs/>
          <w:color w:val="000000"/>
          <w:sz w:val="24"/>
          <w:szCs w:val="28"/>
          <w:u w:val="none"/>
        </w:rPr>
        <w:t xml:space="preserve">截止时间：</w:t>
      </w:r>
      <w:r>
        <w:rPr>
          <w:rFonts w:ascii="宋体" w:hAnsi="宋体" w:eastAsia="宋体" w:cs="宋体"/>
          <w:color w:val="000000"/>
          <w:sz w:val="24"/>
          <w:highlight w:val="yellow"/>
        </w:rPr>
        <w:t xml:space="preserve">2026-4 - 24 9：00</w:t>
      </w:r>
      <w:r>
        <w:rPr>
          <w:rFonts w:hint="eastAsia" w:ascii="宋体" w:hAnsi="宋体"/>
          <w:color w:val="000000"/>
          <w:sz w:val="24"/>
          <w:szCs w:val="28"/>
          <w:u w:val="none"/>
        </w:rPr>
        <w:t xml:space="preserve">（北京时间）</w:t>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地点：</w:t>
      </w:r>
      <w:bookmarkStart w:id="27" w:name="EB5dadb72067b4484a9157eb73618cfc06"/>
      <w:r>
        <w:rPr>
          <w:rFonts w:hint="eastAsia" w:ascii="宋体" w:hAnsi="宋体"/>
          <w:color w:val="000000"/>
          <w:sz w:val="24"/>
          <w:szCs w:val="28"/>
          <w:u w:val="none"/>
        </w:rPr>
        <w:t xml:space="preserve">在线提交</w:t>
      </w:r>
      <w:bookmarkEnd w:id="27"/>
      <w:r/>
      <w:r/>
    </w:p>
    <w:p>
      <w:pPr>
        <w:ind w:firstLine="480"/>
        <w:jc w:val="left"/>
        <w:spacing w:line="360" w:lineRule="auto"/>
        <w:rPr>
          <w:rStyle w:val="1074"/>
          <w:rFonts w:ascii="宋体" w:hAnsi="宋体"/>
          <w:color w:val="000000"/>
          <w:sz w:val="24"/>
          <w:szCs w:val="28"/>
          <w:u w:val="none"/>
        </w:rPr>
      </w:pPr>
      <w:r>
        <w:rPr>
          <w:rFonts w:hint="eastAsia" w:ascii="宋体" w:hAnsi="宋体"/>
          <w:color w:val="000000"/>
          <w:sz w:val="24"/>
          <w:szCs w:val="28"/>
          <w:u w:val="none"/>
        </w:rPr>
        <w:t xml:space="preserve">操作指南： </w:t>
      </w:r>
      <w:bookmarkStart w:id="28" w:name="_Toc73365461"/>
      <w:r/>
      <w:bookmarkStart w:id="29" w:name="_Toc73364848"/>
      <w:r/>
      <w:bookmarkStart w:id="30" w:name="_Toc256000005"/>
      <w:r>
        <w:rPr>
          <w:rStyle w:val="1074"/>
          <w:rFonts w:ascii="宋体" w:hAnsi="宋体"/>
          <w:color w:val="000000"/>
          <w:sz w:val="24"/>
          <w:szCs w:val="28"/>
          <w:u w:val="none"/>
        </w:rPr>
        <w:fldChar w:fldCharType="begin"/>
      </w:r>
      <w:r>
        <w:rPr>
          <w:rStyle w:val="1074"/>
          <w:rFonts w:ascii="宋体" w:hAnsi="宋体"/>
          <w:color w:val="000000"/>
          <w:sz w:val="24"/>
          <w:szCs w:val="28"/>
          <w:u w:val="none"/>
        </w:rPr>
        <w:instrText xml:space="preserve"> HYPERLINK "https://ggzy.zhenjiang.gov.cn/xzzq/20230830/c4df61fd-89bd-41b1-b5e7-700bb01af128.html" </w:instrText>
      </w:r>
      <w:r>
        <w:rPr>
          <w:rStyle w:val="1074"/>
          <w:rFonts w:ascii="宋体" w:hAnsi="宋体"/>
          <w:color w:val="000000"/>
          <w:sz w:val="24"/>
          <w:szCs w:val="28"/>
          <w:u w:val="none"/>
        </w:rPr>
        <w:fldChar w:fldCharType="separate"/>
      </w:r>
      <w:r>
        <w:rPr>
          <w:rStyle w:val="1074"/>
          <w:rFonts w:ascii="宋体" w:hAnsi="宋体"/>
          <w:color w:val="000000"/>
          <w:sz w:val="24"/>
          <w:szCs w:val="28"/>
          <w:u w:val="none"/>
        </w:rPr>
        <w:t xml:space="preserve">https://ggzy.zhenjiang.gov.cn/xzzq/20230830/c4df61fd-89bd-41b1-b5e7-700bb01af128.html</w:t>
      </w:r>
      <w:r>
        <w:rPr>
          <w:rStyle w:val="1074"/>
          <w:rFonts w:ascii="宋体" w:hAnsi="宋体"/>
          <w:color w:val="000000"/>
          <w:sz w:val="24"/>
          <w:szCs w:val="28"/>
          <w:u w:val="none"/>
        </w:rPr>
        <w:fldChar w:fldCharType="end"/>
      </w:r>
      <w:r/>
    </w:p>
    <w:p>
      <w:pPr>
        <w:pStyle w:val="1034"/>
        <w:jc w:val="left"/>
        <w:rPr>
          <w:rFonts w:ascii="宋体" w:hAnsi="宋体" w:eastAsia="宋体"/>
          <w:b w:val="0"/>
          <w:color w:val="000000"/>
          <w:u w:val="none"/>
          <w:lang w:eastAsia="zh-CN"/>
        </w:rPr>
      </w:pPr>
      <w:r>
        <w:rPr>
          <w:rFonts w:hint="eastAsia" w:ascii="宋体" w:hAnsi="宋体" w:eastAsia="宋体"/>
          <w:b w:val="0"/>
          <w:color w:val="000000"/>
          <w:u w:val="none"/>
          <w:lang w:eastAsia="zh-CN"/>
        </w:rPr>
        <w:t xml:space="preserve">五、开启</w:t>
      </w:r>
      <w:bookmarkEnd w:id="28"/>
      <w:r/>
      <w:bookmarkEnd w:id="29"/>
      <w:r/>
      <w:bookmarkEnd w:id="30"/>
      <w:r/>
      <w:r/>
    </w:p>
    <w:p>
      <w:pPr>
        <w:ind w:firstLine="480"/>
        <w:jc w:val="left"/>
        <w:spacing w:line="360" w:lineRule="auto"/>
        <w:rPr>
          <w:rFonts w:ascii="宋体" w:hAnsi="宋体"/>
          <w:color w:val="000000"/>
          <w:sz w:val="24"/>
          <w:szCs w:val="28"/>
          <w:u w:val="none"/>
        </w:rPr>
      </w:pPr>
      <w:r>
        <w:rPr>
          <w:rFonts w:hint="eastAsia" w:ascii="宋体" w:hAnsi="宋体"/>
          <w:color w:val="000000"/>
          <w:sz w:val="24"/>
          <w:szCs w:val="28"/>
          <w:u w:val="none"/>
        </w:rPr>
        <w:t xml:space="preserve">时间：</w:t>
      </w:r>
      <w:r>
        <w:rPr>
          <w:rFonts w:ascii="宋体" w:hAnsi="宋体" w:eastAsia="宋体" w:cs="宋体"/>
          <w:color w:val="000000"/>
          <w:sz w:val="24"/>
          <w:highlight w:val="yellow"/>
        </w:rPr>
        <w:t xml:space="preserve">2026-4 -24  9：00</w:t>
      </w:r>
      <w:r>
        <w:rPr>
          <w:rFonts w:hint="eastAsia" w:ascii="宋体" w:hAnsi="宋体"/>
          <w:color w:val="000000"/>
          <w:sz w:val="24"/>
          <w:szCs w:val="28"/>
          <w:u w:val="none"/>
        </w:rPr>
        <w:t xml:space="preserve">（北京时间）</w:t>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地点：</w:t>
      </w:r>
      <w:bookmarkStart w:id="31" w:name="EBbaa17d39a49c4535bcb10d971b5d2238"/>
      <w:r>
        <w:rPr>
          <w:rFonts w:hint="eastAsia" w:ascii="宋体" w:hAnsi="宋体"/>
          <w:color w:val="000000"/>
          <w:sz w:val="24"/>
          <w:szCs w:val="28"/>
          <w:u w:val="none"/>
        </w:rPr>
        <w:t xml:space="preserve">苏采云开标大厅</w:t>
      </w:r>
      <w:bookmarkEnd w:id="31"/>
      <w:r/>
      <w:bookmarkStart w:id="32" w:name="_Toc73365462"/>
      <w:r/>
      <w:bookmarkStart w:id="33" w:name="_Toc73364849"/>
      <w:r/>
      <w:bookmarkStart w:id="34" w:name="_Toc256000006"/>
      <w:r/>
      <w:r/>
    </w:p>
    <w:p>
      <w:pPr>
        <w:pStyle w:val="1034"/>
        <w:jc w:val="left"/>
        <w:rPr>
          <w:rFonts w:ascii="宋体" w:hAnsi="宋体" w:eastAsia="宋体"/>
          <w:b w:val="0"/>
          <w:color w:val="000000"/>
          <w:u w:val="none"/>
          <w:lang w:eastAsia="zh-CN"/>
        </w:rPr>
      </w:pPr>
      <w:r>
        <w:rPr>
          <w:rFonts w:hint="eastAsia" w:ascii="宋体" w:hAnsi="宋体" w:eastAsia="宋体"/>
          <w:b w:val="0"/>
          <w:color w:val="000000"/>
          <w:u w:val="none"/>
          <w:lang w:eastAsia="zh-CN"/>
        </w:rPr>
        <w:t xml:space="preserve">六、公告期限</w:t>
      </w:r>
      <w:bookmarkEnd w:id="32"/>
      <w:r/>
      <w:bookmarkEnd w:id="33"/>
      <w:r/>
      <w:bookmarkEnd w:id="34"/>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自本公告发布之日起3个工作日。</w:t>
      </w:r>
      <w:r/>
    </w:p>
    <w:p>
      <w:pPr>
        <w:pStyle w:val="1034"/>
        <w:jc w:val="left"/>
        <w:rPr>
          <w:rFonts w:ascii="宋体" w:hAnsi="宋体" w:eastAsia="宋体"/>
          <w:b w:val="0"/>
          <w:color w:val="000000"/>
          <w:u w:val="none"/>
          <w:lang w:eastAsia="zh-CN"/>
        </w:rPr>
      </w:pPr>
      <w:r/>
      <w:bookmarkStart w:id="35" w:name="_Toc73365463"/>
      <w:r/>
      <w:bookmarkStart w:id="36" w:name="_Toc256000007"/>
      <w:r/>
      <w:bookmarkStart w:id="37" w:name="_Toc73364850"/>
      <w:r>
        <w:rPr>
          <w:rFonts w:hint="eastAsia" w:ascii="宋体" w:hAnsi="宋体" w:eastAsia="宋体"/>
          <w:b w:val="0"/>
          <w:color w:val="000000"/>
          <w:u w:val="none"/>
          <w:lang w:eastAsia="zh-CN"/>
        </w:rPr>
        <w:t xml:space="preserve">七、其他补充事宜</w:t>
      </w:r>
      <w:bookmarkEnd w:id="35"/>
      <w:r/>
      <w:bookmarkEnd w:id="36"/>
      <w:r/>
      <w:bookmarkEnd w:id="37"/>
      <w:r/>
      <w:r/>
    </w:p>
    <w:p>
      <w:pPr>
        <w:pStyle w:val="1085"/>
        <w:ind w:firstLine="480"/>
        <w:jc w:val="left"/>
        <w:spacing w:line="360" w:lineRule="auto"/>
        <w:widowControl/>
        <w:rPr>
          <w:rFonts w:ascii="宋体" w:hAnsi="宋体"/>
          <w:sz w:val="24"/>
          <w:szCs w:val="28"/>
          <w:u w:val="none"/>
        </w:rPr>
      </w:pPr>
      <w:r/>
      <w:bookmarkStart w:id="38" w:name="_Toc73365464"/>
      <w:r/>
      <w:bookmarkStart w:id="39" w:name="_Toc73364851"/>
      <w:r/>
      <w:bookmarkStart w:id="40" w:name="_Toc256000008"/>
      <w:r>
        <w:rPr>
          <w:rFonts w:hint="eastAsia" w:ascii="宋体" w:hAnsi="宋体" w:cs="宋体"/>
          <w:sz w:val="24"/>
          <w:szCs w:val="28"/>
          <w:u w:val="none"/>
        </w:rPr>
        <w:t xml:space="preserve">1.本项目通过电子交易平台进行采购，</w:t>
      </w:r>
      <w:r>
        <w:rPr>
          <w:rFonts w:hint="eastAsia" w:ascii="宋体" w:hAnsi="宋体"/>
          <w:sz w:val="24"/>
          <w:szCs w:val="28"/>
          <w:u w:val="none"/>
        </w:rPr>
        <w:t xml:space="preserve">投标人须通过“苏采云”平台在线制作并提交投标文件。</w:t>
      </w:r>
      <w:r>
        <w:rPr>
          <w:rFonts w:hint="eastAsia" w:ascii="宋体" w:hAnsi="宋体" w:cs="宋体"/>
          <w:sz w:val="24"/>
          <w:szCs w:val="28"/>
          <w:u w:val="none"/>
        </w:rPr>
        <w:t xml:space="preserve">请在投标前详细阅读《苏采云操作手册》（网址：</w:t>
      </w:r>
      <w:r>
        <w:rPr>
          <w:u w:val="none"/>
        </w:rPr>
        <w:fldChar w:fldCharType="begin"/>
      </w:r>
      <w:r>
        <w:rPr>
          <w:u w:val="none"/>
        </w:rPr>
        <w:instrText xml:space="preserve"> HYPERLINK "http://www.ccgp-jiangsu.gov.cn/jiangsu/zlxz/ee/ee3a4bc5a3454aa2b0d9312230633ce9.html）；" </w:instrText>
      </w:r>
      <w:r>
        <w:rPr>
          <w:u w:val="none"/>
        </w:rPr>
        <w:fldChar w:fldCharType="separate"/>
      </w:r>
      <w:r>
        <w:rPr>
          <w:rStyle w:val="800"/>
          <w:rFonts w:ascii="宋体" w:hAnsi="宋体"/>
          <w:color w:val="auto"/>
          <w:sz w:val="24"/>
          <w:szCs w:val="28"/>
          <w:u w:val="none"/>
        </w:rPr>
        <w:t xml:space="preserve">http://www.ccgp-jiangsu.gov.cn/jiangsu/zlxz/ee/ee3a4bc5a3454aa2b0d9312230633ce9.html</w:t>
      </w:r>
      <w:r>
        <w:rPr>
          <w:rStyle w:val="800"/>
          <w:rFonts w:hint="eastAsia" w:ascii="宋体" w:hAnsi="宋体" w:cs="宋体"/>
          <w:color w:val="auto"/>
          <w:sz w:val="24"/>
          <w:szCs w:val="28"/>
          <w:u w:val="none"/>
        </w:rPr>
        <w:t xml:space="preserve">）；</w:t>
      </w:r>
      <w:r>
        <w:rPr>
          <w:rStyle w:val="800"/>
          <w:rFonts w:hint="eastAsia" w:ascii="宋体" w:hAnsi="宋体" w:cs="宋体"/>
          <w:color w:val="auto"/>
          <w:sz w:val="24"/>
          <w:szCs w:val="28"/>
          <w:u w:val="none"/>
        </w:rPr>
        <w:fldChar w:fldCharType="end"/>
      </w:r>
      <w:r>
        <w:rPr>
          <w:rFonts w:hint="eastAsia" w:ascii="宋体" w:hAnsi="宋体"/>
          <w:sz w:val="24"/>
          <w:szCs w:val="28"/>
          <w:u w:val="none"/>
        </w:rPr>
        <w:t xml:space="preserve">截至投标截止时间，电子交易平台投标通道将关闭，投标人未完成电子投标文件有效提交的，其投标将被拒绝。</w:t>
      </w:r>
      <w:r/>
    </w:p>
    <w:p>
      <w:pPr>
        <w:ind w:firstLine="480"/>
        <w:spacing w:line="360" w:lineRule="auto"/>
        <w:rPr>
          <w:rFonts w:ascii="宋体" w:hAnsi="宋体"/>
          <w:sz w:val="24"/>
          <w:szCs w:val="28"/>
          <w:u w:val="none"/>
        </w:rPr>
      </w:pPr>
      <w:r>
        <w:rPr>
          <w:rFonts w:hint="eastAsia" w:ascii="宋体" w:hAnsi="宋体"/>
          <w:sz w:val="24"/>
          <w:szCs w:val="28"/>
          <w:u w:val="none"/>
        </w:rPr>
        <w:t xml:space="preserve">2.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解密锁发生故障等自身原因，导致响应文件在规定时间内未能解密、解密失败或解密超时，供应商自行承担其后果。</w:t>
      </w:r>
      <w:r/>
    </w:p>
    <w:p>
      <w:pPr>
        <w:pStyle w:val="1085"/>
        <w:ind w:firstLine="480"/>
        <w:jc w:val="left"/>
        <w:spacing w:line="360" w:lineRule="auto"/>
        <w:widowControl/>
        <w:rPr>
          <w:rFonts w:ascii="宋体" w:hAnsi="宋体" w:cs="宋体"/>
          <w:sz w:val="24"/>
          <w:szCs w:val="28"/>
          <w:u w:val="none"/>
        </w:rPr>
      </w:pPr>
      <w:r>
        <w:rPr>
          <w:rFonts w:hint="eastAsia" w:ascii="宋体" w:hAnsi="宋体" w:cs="宋体"/>
          <w:sz w:val="24"/>
          <w:szCs w:val="28"/>
          <w:u w:val="none"/>
        </w:rPr>
        <w:t xml:space="preserve">3.投标人在使用系统进行投标的过程中如遇到涉及平台使用的任何问题，应在工作日上午9：00-1</w:t>
      </w:r>
      <w:r>
        <w:rPr>
          <w:rFonts w:ascii="宋体" w:hAnsi="宋体" w:cs="宋体"/>
          <w:sz w:val="24"/>
          <w:szCs w:val="28"/>
          <w:u w:val="none"/>
        </w:rPr>
        <w:t xml:space="preserve">1</w:t>
      </w:r>
      <w:r>
        <w:rPr>
          <w:rFonts w:hint="eastAsia" w:ascii="宋体" w:hAnsi="宋体" w:cs="宋体"/>
          <w:sz w:val="24"/>
          <w:szCs w:val="28"/>
          <w:u w:val="none"/>
        </w:rPr>
        <w:t xml:space="preserve">:</w:t>
      </w:r>
      <w:r>
        <w:rPr>
          <w:rFonts w:ascii="宋体" w:hAnsi="宋体" w:cs="宋体"/>
          <w:sz w:val="24"/>
          <w:szCs w:val="28"/>
          <w:u w:val="none"/>
        </w:rPr>
        <w:t xml:space="preserve">3</w:t>
      </w:r>
      <w:r>
        <w:rPr>
          <w:rFonts w:hint="eastAsia" w:ascii="宋体" w:hAnsi="宋体" w:cs="宋体"/>
          <w:sz w:val="24"/>
          <w:szCs w:val="28"/>
          <w:u w:val="none"/>
        </w:rPr>
        <w:t xml:space="preserve">0 下午13:30-17:30期间致电技术支持热线咨询，联系方式:0519-86722803、0519-86722805。</w:t>
      </w:r>
      <w:r/>
    </w:p>
    <w:p>
      <w:pPr>
        <w:pStyle w:val="1085"/>
        <w:ind w:firstLine="480"/>
        <w:jc w:val="left"/>
        <w:spacing w:line="360" w:lineRule="auto"/>
        <w:widowControl/>
        <w:rPr>
          <w:rFonts w:ascii="宋体" w:hAnsi="宋体" w:cs="宋体"/>
          <w:sz w:val="24"/>
          <w:szCs w:val="28"/>
          <w:u w:val="none"/>
        </w:rPr>
      </w:pPr>
      <w:r>
        <w:rPr>
          <w:rFonts w:hint="eastAsia" w:ascii="宋体" w:hAnsi="宋体" w:cs="宋体"/>
          <w:sz w:val="24"/>
          <w:szCs w:val="28"/>
          <w:u w:val="none"/>
        </w:rPr>
        <w:t xml:space="preserve">4.投标人投标需提前办理数字认证证书，办理方式和注意事项详见:</w:t>
      </w:r>
      <w:r/>
    </w:p>
    <w:p>
      <w:pPr>
        <w:ind w:firstLine="420"/>
        <w:jc w:val="left"/>
        <w:spacing w:line="360" w:lineRule="auto"/>
        <w:rPr>
          <w:rFonts w:ascii="宋体" w:hAnsi="宋体" w:cs="宋体"/>
          <w:sz w:val="24"/>
          <w:highlight w:val="white"/>
          <w:u w:val="none"/>
        </w:rPr>
      </w:pPr>
      <w:r>
        <w:rPr>
          <w:rFonts w:hint="eastAsia" w:ascii="宋体" w:hAnsi="宋体"/>
          <w:sz w:val="24"/>
          <w:szCs w:val="28"/>
          <w:u w:val="none"/>
        </w:rPr>
        <w:t xml:space="preserve">苏采云系统目前支持意源CA数字证书和方正电子签章，</w:t>
      </w:r>
      <w:r>
        <w:rPr>
          <w:rFonts w:hint="eastAsia" w:ascii="宋体" w:hAnsi="宋体" w:cs="宋体"/>
          <w:sz w:val="24"/>
          <w:highlight w:val="white"/>
          <w:u w:val="none"/>
        </w:rPr>
        <w:t xml:space="preserve">镇江地区意源（方正）办理方式和注意事项详见: </w:t>
      </w:r>
      <w:r>
        <w:rPr>
          <w:u w:val="none"/>
        </w:rPr>
        <w:fldChar w:fldCharType="begin"/>
      </w:r>
      <w:r>
        <w:rPr>
          <w:u w:val="none"/>
        </w:rPr>
        <w:instrText xml:space="preserve"> HYPERLINK "http://jsxcmm.com/help/help.html" </w:instrText>
      </w:r>
      <w:r>
        <w:rPr>
          <w:u w:val="none"/>
        </w:rPr>
        <w:fldChar w:fldCharType="separate"/>
      </w:r>
      <w:r>
        <w:rPr>
          <w:rFonts w:hint="eastAsia" w:ascii="宋体" w:hAnsi="宋体" w:cs="宋体"/>
          <w:sz w:val="24"/>
          <w:highlight w:val="white"/>
          <w:u w:val="none"/>
        </w:rPr>
        <w:t xml:space="preserve">http://jsxcmm.com/help/help.html</w:t>
      </w:r>
      <w:r>
        <w:rPr>
          <w:rFonts w:hint="eastAsia" w:ascii="宋体" w:hAnsi="宋体" w:cs="宋体"/>
          <w:sz w:val="24"/>
          <w:highlight w:val="white"/>
          <w:u w:val="none"/>
        </w:rPr>
        <w:fldChar w:fldCharType="end"/>
      </w:r>
      <w:r>
        <w:rPr>
          <w:rFonts w:hint="eastAsia" w:ascii="宋体" w:hAnsi="宋体" w:cs="宋体"/>
          <w:sz w:val="24"/>
          <w:highlight w:val="white"/>
          <w:u w:val="none"/>
        </w:rPr>
        <w:t xml:space="preserve">。</w:t>
      </w:r>
      <w:r/>
    </w:p>
    <w:p>
      <w:pPr>
        <w:ind w:firstLine="480"/>
        <w:spacing w:line="360" w:lineRule="auto"/>
        <w:rPr>
          <w:rFonts w:ascii="宋体" w:hAnsi="宋体"/>
          <w:sz w:val="24"/>
          <w:szCs w:val="28"/>
          <w:u w:val="none"/>
        </w:rPr>
      </w:pPr>
      <w:r>
        <w:rPr>
          <w:rFonts w:hint="eastAsia" w:ascii="宋体" w:hAnsi="宋体"/>
          <w:sz w:val="24"/>
          <w:szCs w:val="28"/>
          <w:u w:val="none"/>
        </w:rPr>
        <w:t xml:space="preserve">5.苏采云系统使用谷歌浏览器参与不见面开标。</w:t>
      </w:r>
      <w:r/>
    </w:p>
    <w:p>
      <w:pPr>
        <w:pStyle w:val="1034"/>
        <w:jc w:val="left"/>
        <w:rPr>
          <w:color w:val="000000"/>
          <w:u w:val="none"/>
          <w:lang w:eastAsia="zh-CN"/>
        </w:rPr>
      </w:pPr>
      <w:r>
        <w:rPr>
          <w:rFonts w:hint="eastAsia" w:ascii="宋体" w:hAnsi="宋体" w:eastAsia="宋体"/>
          <w:b w:val="0"/>
          <w:color w:val="000000"/>
          <w:u w:val="none"/>
          <w:lang w:eastAsia="zh-CN"/>
        </w:rPr>
        <w:t xml:space="preserve">八、对本次磋商提出询问，请按以下方式联系。</w:t>
      </w:r>
      <w:bookmarkEnd w:id="38"/>
      <w:r/>
      <w:bookmarkEnd w:id="39"/>
      <w:r/>
      <w:bookmarkEnd w:id="40"/>
      <w:r/>
      <w:r/>
    </w:p>
    <w:p>
      <w:pPr>
        <w:ind w:firstLine="720"/>
        <w:jc w:val="left"/>
        <w:spacing w:line="360" w:lineRule="auto"/>
        <w:widowControl/>
        <w:rPr>
          <w:rFonts w:ascii="宋体" w:hAnsi="宋体"/>
          <w:color w:val="000000" w:themeColor="text1"/>
          <w:sz w:val="24"/>
          <w:szCs w:val="28"/>
          <w:u w:val="none"/>
        </w:rPr>
      </w:pPr>
      <w:r>
        <w:rPr>
          <w:rFonts w:hint="eastAsia" w:ascii="宋体" w:hAnsi="宋体" w:cs="宋体"/>
          <w:color w:val="000000" w:themeColor="text1"/>
          <w:sz w:val="24"/>
          <w:szCs w:val="28"/>
          <w:u w:val="none"/>
        </w:rPr>
        <w:t xml:space="preserve">1.采购人信息</w:t>
      </w:r>
      <w:r/>
    </w:p>
    <w:p>
      <w:pPr>
        <w:ind w:left="1079" w:hanging="300"/>
        <w:jc w:val="left"/>
        <w:spacing w:line="360" w:lineRule="auto"/>
        <w:rPr>
          <w:rFonts w:ascii="宋体" w:hAnsi="宋体"/>
          <w:color w:val="000000" w:themeColor="text1"/>
          <w:sz w:val="24"/>
          <w:szCs w:val="28"/>
          <w:u w:val="none"/>
        </w:rPr>
      </w:pPr>
      <w:r/>
      <w:bookmarkStart w:id="41" w:name="_Toc28359086"/>
      <w:r/>
      <w:bookmarkStart w:id="42" w:name="_Toc28359009"/>
      <w:r>
        <w:rPr>
          <w:rFonts w:hint="eastAsia" w:ascii="宋体" w:hAnsi="宋体"/>
          <w:color w:val="000000" w:themeColor="text1"/>
          <w:sz w:val="24"/>
          <w:szCs w:val="28"/>
          <w:u w:val="none"/>
        </w:rPr>
        <w:t xml:space="preserve">名 称：</w:t>
      </w:r>
      <w:r>
        <w:rPr>
          <w:rFonts w:hint="eastAsia" w:ascii="宋体" w:hAnsi="宋体"/>
          <w:color w:val="000000" w:themeColor="text1"/>
          <w:sz w:val="24"/>
          <w:szCs w:val="28"/>
          <w:highlight w:val="white"/>
          <w:u w:val="none"/>
        </w:rPr>
        <w:t xml:space="preserve">句容市教育局</w:t>
      </w:r>
      <w:r/>
    </w:p>
    <w:p>
      <w:pPr>
        <w:ind w:left="1079" w:hanging="300"/>
        <w:jc w:val="left"/>
        <w:spacing w:line="360" w:lineRule="auto"/>
        <w:rPr>
          <w:rFonts w:ascii="宋体" w:hAnsi="宋体" w:cs="宋体"/>
          <w:color w:val="000000" w:themeColor="text1"/>
          <w:sz w:val="24"/>
          <w:szCs w:val="28"/>
          <w:u w:val="none"/>
        </w:rPr>
      </w:pPr>
      <w:r>
        <w:rPr>
          <w:rFonts w:hint="eastAsia" w:ascii="宋体" w:hAnsi="宋体"/>
          <w:color w:val="000000" w:themeColor="text1"/>
          <w:sz w:val="24"/>
          <w:szCs w:val="28"/>
          <w:u w:val="none"/>
        </w:rPr>
        <w:t xml:space="preserve">地 址：江苏省镇江市句容市华阳西路23号‌</w:t>
      </w:r>
      <w:r/>
    </w:p>
    <w:p>
      <w:pPr>
        <w:ind w:left="1079" w:hanging="300"/>
        <w:jc w:val="left"/>
        <w:spacing w:line="360" w:lineRule="auto"/>
        <w:rPr>
          <w:rFonts w:ascii="宋体" w:hAnsi="宋体"/>
          <w:color w:val="000000" w:themeColor="text1"/>
          <w:sz w:val="24"/>
          <w:szCs w:val="28"/>
          <w:u w:val="none"/>
        </w:rPr>
      </w:pPr>
      <w:r>
        <w:rPr>
          <w:rFonts w:hint="eastAsia" w:ascii="宋体" w:hAnsi="宋体"/>
          <w:color w:val="000000" w:themeColor="text1"/>
          <w:sz w:val="24"/>
          <w:szCs w:val="28"/>
          <w:u w:val="none"/>
        </w:rPr>
        <w:t xml:space="preserve">联系人：徐先生</w:t>
      </w:r>
      <w:r/>
    </w:p>
    <w:p>
      <w:pPr>
        <w:ind w:left="1079" w:hanging="300"/>
        <w:jc w:val="left"/>
        <w:spacing w:line="360" w:lineRule="auto"/>
        <w:rPr>
          <w:rFonts w:ascii="宋体" w:hAnsi="宋体"/>
          <w:color w:val="000000" w:themeColor="text1"/>
          <w:sz w:val="24"/>
          <w:szCs w:val="28"/>
          <w:highlight w:val="yellow"/>
          <w:u w:val="none"/>
        </w:rPr>
      </w:pPr>
      <w:r>
        <w:rPr>
          <w:rFonts w:hint="eastAsia" w:ascii="宋体" w:hAnsi="宋体"/>
          <w:color w:val="000000" w:themeColor="text1"/>
          <w:sz w:val="24"/>
          <w:szCs w:val="28"/>
          <w:u w:val="none"/>
        </w:rPr>
        <w:t xml:space="preserve">联系方式：0511-87673900</w:t>
      </w:r>
      <w:r/>
    </w:p>
    <w:p>
      <w:pPr>
        <w:ind w:left="1079" w:hanging="300"/>
        <w:jc w:val="left"/>
        <w:spacing w:line="360" w:lineRule="auto"/>
        <w:rPr>
          <w:rFonts w:ascii="宋体" w:hAnsi="宋体"/>
          <w:color w:val="000000" w:themeColor="text1"/>
          <w:sz w:val="24"/>
          <w:szCs w:val="28"/>
          <w:u w:val="none"/>
        </w:rPr>
      </w:pPr>
      <w:r>
        <w:rPr>
          <w:rFonts w:hint="eastAsia" w:ascii="宋体" w:hAnsi="宋体" w:cs="宋体"/>
          <w:color w:val="000000" w:themeColor="text1"/>
          <w:sz w:val="24"/>
          <w:szCs w:val="28"/>
          <w:u w:val="none"/>
        </w:rPr>
        <w:t xml:space="preserve">2.采购代理机构信息</w:t>
      </w:r>
      <w:bookmarkEnd w:id="41"/>
      <w:r/>
      <w:bookmarkEnd w:id="42"/>
      <w:r/>
      <w:r/>
    </w:p>
    <w:p>
      <w:pPr>
        <w:ind w:left="1079" w:hanging="300"/>
        <w:jc w:val="left"/>
        <w:spacing w:line="360" w:lineRule="auto"/>
        <w:rPr>
          <w:rFonts w:ascii="宋体" w:hAnsi="宋体"/>
          <w:color w:val="000000" w:themeColor="text1"/>
          <w:sz w:val="24"/>
          <w:szCs w:val="28"/>
          <w:u w:val="none"/>
        </w:rPr>
      </w:pPr>
      <w:r>
        <w:rPr>
          <w:rFonts w:hint="eastAsia" w:ascii="宋体" w:hAnsi="宋体"/>
          <w:color w:val="000000" w:themeColor="text1"/>
          <w:sz w:val="24"/>
          <w:szCs w:val="28"/>
          <w:u w:val="none"/>
        </w:rPr>
        <w:t xml:space="preserve">名 称：</w:t>
      </w:r>
      <w:r>
        <w:rPr>
          <w:rFonts w:hint="eastAsia" w:ascii="宋体" w:hAnsi="宋体"/>
          <w:color w:val="000000" w:themeColor="text1"/>
          <w:sz w:val="24"/>
          <w:szCs w:val="28"/>
          <w:highlight w:val="white"/>
          <w:u w:val="none"/>
        </w:rPr>
        <w:t xml:space="preserve">江苏镇江千寻工程咨询有限公司</w:t>
      </w:r>
      <w:r/>
    </w:p>
    <w:p>
      <w:pPr>
        <w:ind w:left="1079" w:hanging="300"/>
        <w:jc w:val="left"/>
        <w:spacing w:line="360" w:lineRule="auto"/>
        <w:rPr>
          <w:rFonts w:ascii="宋体" w:hAnsi="宋体"/>
          <w:color w:val="000000" w:themeColor="text1"/>
          <w:sz w:val="24"/>
          <w:szCs w:val="28"/>
          <w:u w:val="none"/>
        </w:rPr>
      </w:pPr>
      <w:r>
        <w:rPr>
          <w:rFonts w:hint="eastAsia" w:ascii="宋体" w:hAnsi="宋体"/>
          <w:color w:val="000000" w:themeColor="text1"/>
          <w:sz w:val="24"/>
          <w:szCs w:val="28"/>
          <w:u w:val="none"/>
        </w:rPr>
        <w:t xml:space="preserve">地 址：</w:t>
      </w:r>
      <w:r>
        <w:rPr>
          <w:rFonts w:hint="eastAsia" w:ascii="宋体" w:hAnsi="宋体"/>
          <w:color w:val="0000ff"/>
          <w:sz w:val="24"/>
          <w:szCs w:val="22"/>
          <w:highlight w:val="none"/>
          <w:u w:val="none"/>
        </w:rPr>
        <w:t xml:space="preserve">句容市玉清路1号</w:t>
      </w:r>
      <w:r>
        <w:rPr>
          <w:rFonts w:hint="eastAsia" w:ascii="宋体" w:hAnsi="宋体"/>
          <w:color w:val="0000ff"/>
          <w:sz w:val="24"/>
          <w:szCs w:val="22"/>
          <w:highlight w:val="none"/>
          <w:u w:val="none"/>
          <w:lang w:eastAsia="zh-CN"/>
        </w:rPr>
        <w:t xml:space="preserve">扬中鱼府</w:t>
      </w:r>
      <w:r>
        <w:rPr>
          <w:rFonts w:hint="eastAsia" w:ascii="宋体" w:hAnsi="宋体"/>
          <w:color w:val="0000ff"/>
          <w:sz w:val="24"/>
          <w:szCs w:val="22"/>
          <w:highlight w:val="none"/>
          <w:u w:val="none"/>
        </w:rPr>
        <w:t xml:space="preserve">三楼</w:t>
      </w:r>
      <w:r/>
    </w:p>
    <w:p>
      <w:pPr>
        <w:ind w:left="1079" w:hanging="300"/>
        <w:jc w:val="left"/>
        <w:spacing w:line="360" w:lineRule="auto"/>
        <w:rPr>
          <w:rFonts w:hint="default" w:ascii="宋体" w:hAnsi="宋体" w:eastAsia="宋体"/>
          <w:color w:val="000000" w:themeColor="text1"/>
          <w:sz w:val="24"/>
          <w:szCs w:val="28"/>
          <w:u w:val="none"/>
          <w:lang w:val="en-US" w:eastAsia="zh-CN"/>
        </w:rPr>
      </w:pPr>
      <w:r>
        <w:rPr>
          <w:rFonts w:hint="eastAsia" w:ascii="宋体" w:hAnsi="宋体"/>
          <w:color w:val="000000" w:themeColor="text1"/>
          <w:sz w:val="24"/>
          <w:szCs w:val="28"/>
          <w:u w:val="none"/>
        </w:rPr>
        <w:t xml:space="preserve">联系方式：</w:t>
      </w:r>
      <w:bookmarkStart w:id="43" w:name="_Toc28359087"/>
      <w:r/>
      <w:bookmarkStart w:id="44" w:name="_Toc28359010"/>
      <w:r>
        <w:rPr>
          <w:rFonts w:hint="eastAsia" w:ascii="宋体" w:hAnsi="宋体"/>
          <w:color w:val="000000" w:themeColor="text1"/>
          <w:sz w:val="24"/>
          <w:szCs w:val="28"/>
          <w:u w:val="none"/>
          <w:lang w:val="en-US" w:eastAsia="zh-CN"/>
        </w:rPr>
        <w:t xml:space="preserve">0511-87686999</w:t>
      </w:r>
      <w:r/>
    </w:p>
    <w:p>
      <w:pPr>
        <w:ind w:left="1079" w:hanging="300"/>
        <w:jc w:val="left"/>
        <w:spacing w:line="360" w:lineRule="auto"/>
        <w:rPr>
          <w:rFonts w:ascii="宋体" w:hAnsi="宋体"/>
          <w:color w:val="000000" w:themeColor="text1"/>
          <w:sz w:val="24"/>
          <w:szCs w:val="28"/>
          <w:u w:val="none"/>
        </w:rPr>
      </w:pPr>
      <w:r>
        <w:rPr>
          <w:rFonts w:hint="eastAsia" w:ascii="宋体" w:hAnsi="宋体" w:cs="宋体"/>
          <w:color w:val="000000" w:themeColor="text1"/>
          <w:sz w:val="24"/>
          <w:szCs w:val="28"/>
          <w:u w:val="none"/>
        </w:rPr>
        <w:t xml:space="preserve">3.项目联系方式</w:t>
      </w:r>
      <w:bookmarkEnd w:id="43"/>
      <w:r/>
      <w:bookmarkEnd w:id="44"/>
      <w:r/>
      <w:r/>
    </w:p>
    <w:p>
      <w:pPr>
        <w:ind w:left="1079" w:hanging="300"/>
        <w:jc w:val="left"/>
        <w:spacing w:line="360" w:lineRule="auto"/>
        <w:rPr>
          <w:rFonts w:ascii="宋体" w:hAnsi="宋体"/>
          <w:color w:val="000000" w:themeColor="text1"/>
          <w:sz w:val="24"/>
          <w:szCs w:val="28"/>
          <w:u w:val="none"/>
        </w:rPr>
      </w:pPr>
      <w:r>
        <w:rPr>
          <w:rFonts w:hint="eastAsia" w:ascii="宋体" w:hAnsi="宋体"/>
          <w:color w:val="000000" w:themeColor="text1"/>
          <w:sz w:val="24"/>
          <w:szCs w:val="28"/>
          <w:u w:val="none"/>
        </w:rPr>
        <w:t xml:space="preserve">项目联系人：</w:t>
      </w:r>
      <w:r>
        <w:rPr>
          <w:rFonts w:hint="eastAsia" w:ascii="宋体" w:hAnsi="宋体" w:cs="宋体"/>
          <w:color w:val="000000" w:themeColor="text1"/>
          <w:sz w:val="24"/>
          <w:szCs w:val="28"/>
          <w:u w:val="none"/>
        </w:rPr>
        <w:t xml:space="preserve">杜工</w:t>
      </w:r>
      <w:r/>
    </w:p>
    <w:p>
      <w:pPr>
        <w:ind w:left="1079" w:hanging="300"/>
        <w:jc w:val="left"/>
        <w:spacing w:line="360" w:lineRule="auto"/>
        <w:rPr>
          <w:rFonts w:ascii="宋体" w:hAnsi="宋体" w:cs="宋体"/>
          <w:color w:val="000000" w:themeColor="text1"/>
          <w:sz w:val="24"/>
          <w:szCs w:val="28"/>
          <w:u w:val="none"/>
        </w:rPr>
      </w:pPr>
      <w:r>
        <w:rPr>
          <w:rFonts w:hint="eastAsia" w:ascii="宋体" w:hAnsi="宋体"/>
          <w:color w:val="000000" w:themeColor="text1"/>
          <w:sz w:val="24"/>
          <w:szCs w:val="28"/>
          <w:u w:val="none"/>
        </w:rPr>
        <w:t xml:space="preserve">电 话：</w:t>
      </w:r>
      <w:r>
        <w:rPr>
          <w:rFonts w:hint="eastAsia" w:ascii="宋体" w:hAnsi="宋体"/>
          <w:color w:val="000000" w:themeColor="text1"/>
          <w:sz w:val="24"/>
          <w:szCs w:val="28"/>
          <w:u w:val="none"/>
          <w:lang w:val="en-US" w:eastAsia="zh-CN"/>
        </w:rPr>
        <w:t xml:space="preserve">0511-87686999</w:t>
      </w:r>
      <w:r/>
    </w:p>
    <w:p>
      <w:pPr>
        <w:ind w:firstLine="480"/>
        <w:jc w:val="left"/>
        <w:spacing w:line="360" w:lineRule="auto"/>
        <w:widowControl/>
        <w:rPr>
          <w:rFonts w:ascii="宋体" w:hAnsi="宋体" w:cs="宋体"/>
          <w:color w:val="000000"/>
          <w:sz w:val="24"/>
          <w:szCs w:val="28"/>
          <w:u w:val="none"/>
        </w:rPr>
      </w:pPr>
      <w:r>
        <w:rPr>
          <w:rFonts w:ascii="宋体" w:hAnsi="宋体" w:cs="宋体"/>
          <w:color w:val="000000"/>
          <w:sz w:val="24"/>
          <w:szCs w:val="28"/>
          <w:u w:val="none"/>
        </w:rPr>
      </w:r>
      <w:r/>
    </w:p>
    <w:p>
      <w:pPr>
        <w:ind w:right="480"/>
        <w:jc w:val="right"/>
        <w:spacing w:line="360" w:lineRule="auto"/>
        <w:rPr>
          <w:rFonts w:hint="eastAsia" w:ascii="宋体" w:hAnsi="宋体" w:eastAsia="宋体"/>
          <w:color w:val="000000"/>
          <w:sz w:val="24"/>
          <w:u w:val="none"/>
          <w:lang w:eastAsia="zh-CN"/>
        </w:rPr>
      </w:pPr>
      <w:r>
        <w:rPr>
          <w:rFonts w:hint="eastAsia" w:ascii="宋体" w:hAnsi="宋体"/>
          <w:color w:val="000000"/>
          <w:sz w:val="24"/>
          <w:u w:val="none"/>
          <w:lang w:eastAsia="zh-CN"/>
        </w:rPr>
        <w:t xml:space="preserve">江苏镇江千寻工程咨询有限公司</w:t>
      </w:r>
      <w:r/>
    </w:p>
    <w:p>
      <w:pPr>
        <w:ind w:right="480"/>
        <w:jc w:val="right"/>
        <w:spacing w:line="360" w:lineRule="auto"/>
        <w:rPr>
          <w:rFonts w:ascii="宋体" w:hAnsi="宋体" w:cs="宋体"/>
          <w:color w:val="000000"/>
          <w:sz w:val="24"/>
          <w:szCs w:val="28"/>
          <w:u w:val="none"/>
        </w:rPr>
      </w:pPr>
      <w:r>
        <w:rPr>
          <w:rFonts w:hint="eastAsia" w:ascii="宋体" w:hAnsi="宋体" w:cs="宋体"/>
          <w:color w:val="000000"/>
          <w:sz w:val="24"/>
          <w:szCs w:val="28"/>
          <w:u w:val="none"/>
        </w:rPr>
        <w:t xml:space="preserve">日期：</w:t>
      </w:r>
      <w:bookmarkStart w:id="45" w:name="EBd1723022ad2146beac3bb129e27cfe99"/>
      <w:r>
        <w:rPr>
          <w:rFonts w:hint="eastAsia" w:ascii="宋体" w:hAnsi="宋体" w:cs="宋体"/>
          <w:color w:val="000000"/>
          <w:sz w:val="24"/>
          <w:szCs w:val="28"/>
          <w:u w:val="none"/>
        </w:rPr>
        <w:t xml:space="preserve">202</w:t>
      </w:r>
      <w:r>
        <w:rPr>
          <w:rFonts w:hint="eastAsia" w:ascii="宋体" w:hAnsi="宋体" w:cs="宋体"/>
          <w:color w:val="000000"/>
          <w:sz w:val="24"/>
          <w:szCs w:val="28"/>
          <w:u w:val="none"/>
          <w:lang w:val="en-US" w:eastAsia="zh-CN"/>
        </w:rPr>
        <w:t xml:space="preserve">6</w:t>
      </w:r>
      <w:r>
        <w:rPr>
          <w:rFonts w:hint="eastAsia" w:ascii="宋体" w:hAnsi="宋体" w:cs="宋体"/>
          <w:color w:val="000000"/>
          <w:sz w:val="24"/>
          <w:szCs w:val="28"/>
          <w:u w:val="none"/>
        </w:rPr>
        <w:t xml:space="preserve">年4月10日</w:t>
      </w:r>
      <w:bookmarkEnd w:id="45"/>
      <w:r/>
      <w:bookmarkStart w:id="46" w:name="_Toc73365466"/>
      <w:r/>
      <w:bookmarkEnd w:id="46"/>
      <w:r/>
      <w:bookmarkStart w:id="47" w:name="_Toc73364853"/>
      <w:r/>
      <w:bookmarkEnd w:id="47"/>
      <w:r/>
      <w:bookmarkStart w:id="48" w:name="_Toc256000010"/>
      <w:r/>
      <w:bookmarkEnd w:id="48"/>
      <w:r/>
      <w:r/>
    </w:p>
    <w:p>
      <w:pPr>
        <w:pStyle w:val="1036"/>
        <w:jc w:val="center"/>
        <w:keepLines w:val="0"/>
        <w:keepNext w:val="0"/>
        <w:spacing w:before="0" w:after="0" w:line="360" w:lineRule="auto"/>
        <w:rPr>
          <w:color w:val="000000"/>
          <w:sz w:val="20"/>
          <w:u w:val="none"/>
          <w:lang w:eastAsia="zh-CN"/>
        </w:rPr>
      </w:pPr>
      <w:r/>
      <w:bookmarkStart w:id="49" w:name="EBa296f577883c4f0bbc5440ff75db1386"/>
      <w:r>
        <w:rPr>
          <w:rFonts w:hint="eastAsia"/>
          <w:color w:val="000000"/>
          <w:sz w:val="20"/>
          <w:u w:val="none"/>
          <w:lang w:eastAsia="zh-CN"/>
        </w:rPr>
        <w:t xml:space="preserve"> </w:t>
      </w:r>
      <w:bookmarkEnd w:id="49"/>
      <w:r/>
      <w:bookmarkStart w:id="50" w:name="EB5cd81c9ed9c74e6abb08406c193c2747"/>
      <w:r>
        <w:rPr>
          <w:rFonts w:hint="eastAsia"/>
          <w:color w:val="000000"/>
          <w:sz w:val="20"/>
          <w:u w:val="none"/>
          <w:lang w:eastAsia="zh-CN"/>
        </w:rPr>
        <w:t xml:space="preserve"> </w:t>
      </w:r>
      <w:bookmarkEnd w:id="50"/>
      <w:r/>
      <w:r/>
    </w:p>
    <w:p>
      <w:pPr>
        <w:pStyle w:val="1036"/>
        <w:jc w:val="center"/>
        <w:keepLines w:val="0"/>
        <w:keepNext w:val="0"/>
        <w:spacing w:before="0" w:after="0" w:line="360" w:lineRule="auto"/>
        <w:rPr>
          <w:color w:val="000000"/>
          <w:sz w:val="20"/>
          <w:u w:val="none"/>
          <w:lang w:eastAsia="zh-CN"/>
        </w:rPr>
      </w:pPr>
      <w:r>
        <w:rPr>
          <w:color w:val="000000"/>
          <w:sz w:val="20"/>
          <w:u w:val="none"/>
          <w:lang w:eastAsia="zh-CN"/>
        </w:rPr>
      </w:r>
      <w:r/>
    </w:p>
    <w:p>
      <w:pPr>
        <w:rPr>
          <w:rFonts w:hint="eastAsia" w:ascii="宋体" w:hAnsi="宋体"/>
          <w:color w:val="000000"/>
          <w:sz w:val="36"/>
          <w:u w:val="none"/>
          <w:lang w:eastAsia="zh-CN"/>
        </w:rPr>
      </w:pPr>
      <w:r>
        <w:rPr>
          <w:rFonts w:hint="eastAsia" w:ascii="宋体" w:hAnsi="宋体"/>
          <w:color w:val="000000"/>
          <w:sz w:val="36"/>
          <w:u w:val="none"/>
          <w:lang w:eastAsia="zh-CN"/>
        </w:rPr>
        <w:br w:type="page" w:clear="all"/>
      </w:r>
      <w:r/>
    </w:p>
    <w:p>
      <w:pPr>
        <w:pStyle w:val="1032"/>
        <w:jc w:val="center"/>
        <w:rPr>
          <w:rFonts w:ascii="宋体" w:hAnsi="宋体"/>
          <w:bCs w:val="0"/>
          <w:color w:val="000000"/>
          <w:u w:val="none"/>
          <w:lang w:eastAsia="zh-CN"/>
        </w:rPr>
      </w:pPr>
      <w:r>
        <w:rPr>
          <w:rFonts w:hint="eastAsia" w:ascii="宋体" w:hAnsi="宋体"/>
          <w:color w:val="000000"/>
          <w:sz w:val="36"/>
          <w:u w:val="none"/>
          <w:lang w:eastAsia="zh-CN"/>
        </w:rPr>
        <w:t xml:space="preserve">第二部分  供应商须知</w:t>
      </w:r>
      <w:r/>
    </w:p>
    <w:p>
      <w:pPr>
        <w:pStyle w:val="1036"/>
        <w:jc w:val="center"/>
        <w:keepLines w:val="0"/>
        <w:keepNext w:val="0"/>
        <w:spacing w:before="0" w:after="0" w:line="360" w:lineRule="auto"/>
        <w:rPr>
          <w:rFonts w:ascii="宋体" w:hAnsi="宋体"/>
          <w:bCs w:val="0"/>
          <w:color w:val="000000"/>
          <w:u w:val="none"/>
          <w:lang w:eastAsia="zh-CN"/>
        </w:rPr>
      </w:pPr>
      <w:r>
        <w:rPr>
          <w:rFonts w:hint="eastAsia" w:ascii="宋体" w:hAnsi="宋体"/>
          <w:bCs w:val="0"/>
          <w:color w:val="000000"/>
          <w:u w:val="none"/>
          <w:lang w:eastAsia="zh-CN"/>
        </w:rPr>
        <w:t xml:space="preserve">前附表</w:t>
      </w:r>
      <w:r/>
    </w:p>
    <w:p>
      <w:pPr>
        <w:rPr>
          <w:color w:val="000000"/>
          <w:u w:val="none"/>
        </w:rPr>
      </w:pPr>
      <w:r>
        <w:rPr>
          <w:color w:val="000000"/>
          <w:u w:val="none"/>
        </w:rPr>
      </w:r>
      <w:r/>
    </w:p>
    <w:tbl>
      <w:tblPr>
        <w:tblStyle w:val="77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980"/>
        <w:gridCol w:w="6791"/>
      </w:tblGrid>
      <w:tr>
        <w:trPr/>
        <w:tc>
          <w:tcPr>
            <w:tcW w:w="816"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序号</w:t>
            </w:r>
            <w:r/>
          </w:p>
        </w:tc>
        <w:tc>
          <w:tcPr>
            <w:tcW w:w="1994"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事项</w:t>
            </w:r>
            <w:r/>
          </w:p>
        </w:tc>
        <w:tc>
          <w:tcPr>
            <w:tcW w:w="6819"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本项目规定</w:t>
            </w:r>
            <w:r/>
          </w:p>
        </w:tc>
      </w:tr>
      <w:tr>
        <w:trPr/>
        <w:tc>
          <w:tcPr>
            <w:tcW w:w="816"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1</w:t>
            </w:r>
            <w:r/>
          </w:p>
        </w:tc>
        <w:tc>
          <w:tcPr>
            <w:tcW w:w="1994"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报价要求</w:t>
            </w:r>
            <w:r/>
          </w:p>
        </w:tc>
        <w:tc>
          <w:tcPr>
            <w:tcW w:w="6819" w:type="dxa"/>
            <w:vAlign w:val="center"/>
            <w:textDirection w:val="lrTb"/>
            <w:noWrap w:val="false"/>
          </w:tcPr>
          <w:p>
            <w:pPr>
              <w:pStyle w:val="779"/>
              <w:ind w:firstLine="0"/>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本次投标报价的币种为人民币。</w:t>
            </w:r>
            <w:r/>
          </w:p>
          <w:p>
            <w:pPr>
              <w:pStyle w:val="779"/>
              <w:ind w:firstLine="0"/>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投标人应按招标文件所提供的各报价表格式报价。</w:t>
            </w:r>
            <w:r/>
          </w:p>
          <w:p>
            <w:pPr>
              <w:pStyle w:val="779"/>
              <w:ind w:firstLine="0"/>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投标人应对本项目报出最具有竞争力的价格，应包括本次招标要求提供的货物（服务）已支付或将支付的所有费用（含税费）。</w:t>
            </w:r>
            <w:r/>
          </w:p>
          <w:p>
            <w:pPr>
              <w:pStyle w:val="779"/>
              <w:ind w:firstLine="0"/>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最低投标报价不能作为中标的保证。</w:t>
            </w:r>
            <w:r/>
          </w:p>
          <w:p>
            <w:pPr>
              <w:pStyle w:val="779"/>
              <w:ind w:firstLine="0"/>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中标价即为合同签约价。</w:t>
            </w:r>
            <w:r/>
          </w:p>
          <w:p>
            <w:pPr>
              <w:pStyle w:val="779"/>
              <w:ind w:firstLine="0"/>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如出现报价前后不一致的，将按招标文件第五部分“评标办法和标准”第5项规定进行修正。</w:t>
            </w:r>
            <w:r/>
          </w:p>
          <w:p>
            <w:pPr>
              <w:pStyle w:val="779"/>
              <w:ind w:firstLine="0"/>
              <w:rPr>
                <w:rFonts w:ascii="宋体" w:hAnsi="宋体" w:cs="楷体"/>
                <w:color w:val="000000" w:themeColor="text1"/>
                <w:sz w:val="24"/>
                <w:u w:val="none"/>
                <w:lang w:eastAsia="zh-CN"/>
              </w:rPr>
            </w:pPr>
            <w:r>
              <w:rPr>
                <w:rFonts w:ascii="宋体" w:hAnsi="宋体" w:cs="楷体"/>
                <w:color w:val="000000" w:themeColor="text1"/>
                <w:sz w:val="24"/>
                <w:u w:val="none"/>
                <w:lang w:eastAsia="zh-CN"/>
              </w:rPr>
            </w:r>
            <w:r/>
          </w:p>
        </w:tc>
      </w:tr>
      <w:tr>
        <w:trPr>
          <w:trHeight w:val="1366"/>
        </w:trPr>
        <w:tc>
          <w:tcPr>
            <w:tcW w:w="816"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2</w:t>
            </w:r>
            <w:r/>
          </w:p>
        </w:tc>
        <w:tc>
          <w:tcPr>
            <w:tcW w:w="1994"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转包及分包</w:t>
            </w:r>
            <w:r/>
          </w:p>
        </w:tc>
        <w:tc>
          <w:tcPr>
            <w:tcW w:w="6819" w:type="dxa"/>
            <w:vAlign w:val="center"/>
            <w:textDirection w:val="lrTb"/>
            <w:noWrap w:val="false"/>
          </w:tcPr>
          <w:p>
            <w:pPr>
              <w:pStyle w:val="779"/>
              <w:ind w:firstLine="0"/>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项目依法不得转包</w:t>
            </w:r>
            <w:r/>
          </w:p>
          <w:p>
            <w:pPr>
              <w:pStyle w:val="779"/>
              <w:ind w:firstLine="0"/>
              <w:rPr>
                <w:rFonts w:ascii="宋体" w:hAnsi="宋体" w:cs="楷体"/>
                <w:color w:val="000000" w:themeColor="text1"/>
                <w:sz w:val="24"/>
                <w:u w:val="none"/>
                <w:lang w:eastAsia="zh-CN"/>
              </w:rPr>
            </w:pPr>
            <w:r>
              <w:rPr>
                <w:rFonts w:ascii="Wingdings" w:hAnsi="Wingdings" w:eastAsia="Wingdings" w:cs="Wingdings"/>
                <w:color w:val="000000" w:themeColor="text1"/>
                <w:sz w:val="24"/>
                <w:u w:val="none"/>
                <w:lang w:eastAsia="zh-CN"/>
              </w:rPr>
              <w:t xml:space="preserve"></w:t>
            </w:r>
            <w:r>
              <w:rPr>
                <w:rFonts w:hint="eastAsia" w:ascii="宋体" w:hAnsi="宋体" w:cs="楷体"/>
                <w:color w:val="000000" w:themeColor="text1"/>
                <w:sz w:val="24"/>
                <w:u w:val="none"/>
                <w:lang w:eastAsia="zh-CN"/>
              </w:rPr>
              <w:t xml:space="preserve">A本项目不同意分包。</w:t>
            </w:r>
            <w:r/>
          </w:p>
          <w:p>
            <w:pPr>
              <w:pStyle w:val="779"/>
              <w:ind w:firstLine="0"/>
              <w:rPr>
                <w:rFonts w:ascii="宋体" w:hAnsi="宋体" w:cs="楷体"/>
                <w:color w:val="000000" w:themeColor="text1"/>
                <w:sz w:val="24"/>
                <w:u w:val="none"/>
                <w:lang w:eastAsia="zh-CN"/>
              </w:rPr>
            </w:pPr>
            <w:r>
              <w:rPr>
                <w:rFonts w:ascii="Wingdings 2" w:hAnsi="Wingdings 2" w:eastAsia="Wingdings 2" w:cs="Wingdings 2"/>
                <w:color w:val="000000" w:themeColor="text1"/>
                <w:sz w:val="24"/>
                <w:u w:val="none"/>
                <w:lang w:eastAsia="zh-CN"/>
              </w:rPr>
              <w:t xml:space="preserve"></w:t>
            </w:r>
            <w:r>
              <w:rPr>
                <w:rFonts w:hint="eastAsia" w:ascii="宋体" w:hAnsi="宋体" w:cs="楷体"/>
                <w:color w:val="000000" w:themeColor="text1"/>
                <w:sz w:val="24"/>
                <w:u w:val="none"/>
                <w:lang w:eastAsia="zh-CN"/>
              </w:rPr>
              <w:t xml:space="preserve">B同意将非主体、非关键性的工作分包。投标人应当在投标文件中载明分包承担主体，分包承担主体应当具备相应资质条件且不得再次分包。</w:t>
            </w:r>
            <w:r>
              <w:rPr>
                <w:rFonts w:hint="eastAsia" w:ascii="宋体" w:hAnsi="宋体"/>
                <w:color w:val="000000" w:themeColor="text1"/>
                <w:sz w:val="24"/>
                <w:u w:val="none"/>
                <w:shd w:val="clear" w:color="auto" w:fill="ffffff"/>
                <w:lang w:eastAsia="zh-CN"/>
              </w:rPr>
              <w:t xml:space="preserve">享受中小企业扶持政策获得政府采购合同的，小微企业不得将合同分包给大中型企业，中型企业不得将合同分包给大型企业。</w:t>
            </w:r>
            <w:r/>
          </w:p>
        </w:tc>
      </w:tr>
      <w:tr>
        <w:trPr>
          <w:trHeight w:val="1366"/>
        </w:trPr>
        <w:tc>
          <w:tcPr>
            <w:tcW w:w="816"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3</w:t>
            </w:r>
            <w:r/>
          </w:p>
        </w:tc>
        <w:tc>
          <w:tcPr>
            <w:tcW w:w="1994"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开标前答疑会</w:t>
            </w:r>
            <w:r/>
          </w:p>
        </w:tc>
        <w:tc>
          <w:tcPr>
            <w:tcW w:w="6819" w:type="dxa"/>
            <w:vAlign w:val="center"/>
            <w:textDirection w:val="lrTb"/>
            <w:noWrap w:val="false"/>
          </w:tcPr>
          <w:p>
            <w:pPr>
              <w:pStyle w:val="779"/>
              <w:ind w:firstLine="0"/>
              <w:rPr>
                <w:rFonts w:ascii="宋体" w:hAnsi="宋体" w:cs="楷体"/>
                <w:color w:val="000000" w:themeColor="text1"/>
                <w:sz w:val="24"/>
                <w:u w:val="none"/>
              </w:rPr>
            </w:pPr>
            <w:r>
              <w:rPr>
                <w:rFonts w:ascii="Wingdings" w:hAnsi="Wingdings" w:eastAsia="Wingdings" w:cs="Wingdings"/>
                <w:color w:val="000000" w:themeColor="text1"/>
                <w:sz w:val="24"/>
                <w:u w:val="none"/>
              </w:rPr>
              <w:t xml:space="preserve"></w:t>
            </w:r>
            <w:r>
              <w:rPr>
                <w:rFonts w:hint="eastAsia" w:ascii="宋体" w:hAnsi="宋体" w:cs="楷体"/>
                <w:color w:val="000000" w:themeColor="text1"/>
                <w:sz w:val="24"/>
                <w:u w:val="none"/>
              </w:rPr>
              <w:t xml:space="preserve">A不组织</w:t>
            </w:r>
            <w:r/>
          </w:p>
          <w:p>
            <w:pPr>
              <w:pStyle w:val="779"/>
              <w:ind w:firstLine="0"/>
              <w:rPr>
                <w:rFonts w:ascii="宋体" w:hAnsi="宋体" w:cs="楷体"/>
                <w:color w:val="000000" w:themeColor="text1"/>
                <w:sz w:val="24"/>
                <w:u w:val="none"/>
              </w:rPr>
            </w:pPr>
            <w:r>
              <w:rPr>
                <w:rFonts w:ascii="Wingdings 2" w:hAnsi="Wingdings 2" w:eastAsia="Wingdings 2" w:cs="Wingdings 2"/>
                <w:color w:val="000000" w:themeColor="text1"/>
                <w:sz w:val="24"/>
                <w:u w:val="none"/>
              </w:rPr>
              <w:t xml:space="preserve"></w:t>
            </w:r>
            <w:r>
              <w:rPr>
                <w:rFonts w:hint="eastAsia" w:ascii="宋体" w:hAnsi="宋体" w:cs="楷体"/>
                <w:color w:val="000000" w:themeColor="text1"/>
                <w:sz w:val="24"/>
                <w:u w:val="none"/>
              </w:rPr>
              <w:t xml:space="preserve">B组织</w:t>
            </w:r>
            <w:r/>
          </w:p>
        </w:tc>
      </w:tr>
      <w:tr>
        <w:trPr>
          <w:trHeight w:val="1366"/>
        </w:trPr>
        <w:tc>
          <w:tcPr>
            <w:tcW w:w="816"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4</w:t>
            </w:r>
            <w:r/>
          </w:p>
        </w:tc>
        <w:tc>
          <w:tcPr>
            <w:tcW w:w="1994"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现场踏勘</w:t>
            </w:r>
            <w:r/>
          </w:p>
        </w:tc>
        <w:tc>
          <w:tcPr>
            <w:tcW w:w="6819" w:type="dxa"/>
            <w:vAlign w:val="center"/>
            <w:textDirection w:val="lrTb"/>
            <w:noWrap w:val="false"/>
          </w:tcPr>
          <w:p>
            <w:pPr>
              <w:pStyle w:val="779"/>
              <w:ind w:firstLine="0"/>
              <w:rPr>
                <w:rFonts w:ascii="宋体" w:hAnsi="宋体" w:cs="楷体"/>
                <w:color w:val="000000" w:themeColor="text1"/>
                <w:sz w:val="24"/>
                <w:u w:val="none"/>
                <w:lang w:eastAsia="zh-CN"/>
              </w:rPr>
            </w:pPr>
            <w:r>
              <w:rPr>
                <w:rFonts w:ascii="Wingdings" w:hAnsi="Wingdings" w:eastAsia="Wingdings" w:cs="Wingdings"/>
                <w:color w:val="000000" w:themeColor="text1"/>
                <w:sz w:val="24"/>
                <w:u w:val="none"/>
                <w:lang w:eastAsia="zh-CN"/>
              </w:rPr>
              <w:t xml:space="preserve"></w:t>
            </w:r>
            <w:r>
              <w:rPr>
                <w:rFonts w:hint="eastAsia" w:ascii="宋体" w:hAnsi="宋体" w:cs="楷体"/>
                <w:color w:val="000000" w:themeColor="text1"/>
                <w:sz w:val="24"/>
                <w:u w:val="none"/>
                <w:lang w:eastAsia="zh-CN"/>
              </w:rPr>
              <w:t xml:space="preserve">A不统一组织</w:t>
            </w:r>
            <w:r/>
          </w:p>
          <w:p>
            <w:pPr>
              <w:pStyle w:val="779"/>
              <w:ind w:firstLine="0"/>
              <w:rPr>
                <w:rFonts w:ascii="宋体" w:hAnsi="宋体" w:cs="楷体"/>
                <w:color w:val="000000" w:themeColor="text1"/>
                <w:sz w:val="24"/>
                <w:u w:val="none"/>
                <w:lang w:eastAsia="zh-CN"/>
              </w:rPr>
            </w:pPr>
            <w:r>
              <w:rPr>
                <w:rFonts w:ascii="Wingdings 2" w:hAnsi="Wingdings 2" w:eastAsia="Wingdings 2" w:cs="Wingdings 2"/>
                <w:color w:val="000000" w:themeColor="text1"/>
                <w:sz w:val="24"/>
                <w:u w:val="none"/>
                <w:lang w:eastAsia="zh-CN"/>
              </w:rPr>
              <w:t xml:space="preserve"></w:t>
            </w:r>
            <w:r>
              <w:rPr>
                <w:rFonts w:hint="eastAsia" w:ascii="宋体" w:hAnsi="宋体" w:cs="楷体"/>
                <w:color w:val="000000" w:themeColor="text1"/>
                <w:sz w:val="24"/>
                <w:u w:val="none"/>
                <w:lang w:eastAsia="zh-CN"/>
              </w:rPr>
              <w:t xml:space="preserve">B统一组织</w:t>
            </w:r>
            <w:r/>
          </w:p>
        </w:tc>
      </w:tr>
      <w:tr>
        <w:trPr>
          <w:trHeight w:val="1366"/>
        </w:trPr>
        <w:tc>
          <w:tcPr>
            <w:tcW w:w="816"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5</w:t>
            </w:r>
            <w:r/>
          </w:p>
        </w:tc>
        <w:tc>
          <w:tcPr>
            <w:tcW w:w="1994"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演示</w:t>
            </w:r>
            <w:r/>
          </w:p>
        </w:tc>
        <w:tc>
          <w:tcPr>
            <w:tcW w:w="6819" w:type="dxa"/>
            <w:vAlign w:val="center"/>
            <w:textDirection w:val="lrTb"/>
            <w:noWrap w:val="false"/>
          </w:tcPr>
          <w:p>
            <w:pPr>
              <w:pStyle w:val="779"/>
              <w:ind w:firstLine="0"/>
              <w:rPr>
                <w:rFonts w:ascii="宋体" w:hAnsi="宋体" w:cs="楷体"/>
                <w:color w:val="000000" w:themeColor="text1"/>
                <w:sz w:val="24"/>
                <w:u w:val="none"/>
              </w:rPr>
            </w:pPr>
            <w:r>
              <w:rPr>
                <w:rFonts w:ascii="Wingdings" w:hAnsi="Wingdings" w:eastAsia="Wingdings" w:cs="Wingdings"/>
                <w:color w:val="000000" w:themeColor="text1"/>
                <w:sz w:val="24"/>
                <w:u w:val="none"/>
              </w:rPr>
              <w:t xml:space="preserve"></w:t>
            </w:r>
            <w:r>
              <w:rPr>
                <w:rFonts w:hint="eastAsia" w:ascii="宋体" w:hAnsi="宋体" w:cs="楷体"/>
                <w:color w:val="000000" w:themeColor="text1"/>
                <w:sz w:val="24"/>
                <w:u w:val="none"/>
              </w:rPr>
              <w:t xml:space="preserve">A无</w:t>
            </w:r>
            <w:r/>
          </w:p>
          <w:p>
            <w:pPr>
              <w:pStyle w:val="779"/>
              <w:ind w:firstLine="0"/>
              <w:rPr>
                <w:rFonts w:ascii="宋体" w:hAnsi="宋体" w:cs="楷体"/>
                <w:color w:val="000000" w:themeColor="text1"/>
                <w:sz w:val="24"/>
                <w:u w:val="none"/>
              </w:rPr>
            </w:pPr>
            <w:r>
              <w:rPr>
                <w:rFonts w:ascii="Wingdings 2" w:hAnsi="Wingdings 2" w:eastAsia="Wingdings 2" w:cs="Wingdings 2"/>
                <w:color w:val="000000" w:themeColor="text1"/>
                <w:sz w:val="24"/>
                <w:u w:val="none"/>
              </w:rPr>
              <w:t xml:space="preserve"></w:t>
            </w:r>
            <w:r>
              <w:rPr>
                <w:rFonts w:hint="eastAsia" w:ascii="宋体" w:hAnsi="宋体" w:cs="楷体"/>
                <w:color w:val="000000" w:themeColor="text1"/>
                <w:sz w:val="24"/>
                <w:u w:val="none"/>
              </w:rPr>
              <w:t xml:space="preserve">B有</w:t>
            </w:r>
            <w:r/>
          </w:p>
        </w:tc>
      </w:tr>
      <w:tr>
        <w:trPr/>
        <w:tc>
          <w:tcPr>
            <w:tcW w:w="816"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6</w:t>
            </w:r>
            <w:r/>
          </w:p>
        </w:tc>
        <w:tc>
          <w:tcPr>
            <w:tcW w:w="1994"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样品</w:t>
            </w:r>
            <w:r/>
          </w:p>
        </w:tc>
        <w:tc>
          <w:tcPr>
            <w:tcW w:w="6819" w:type="dxa"/>
            <w:vAlign w:val="center"/>
            <w:textDirection w:val="lrTb"/>
            <w:noWrap w:val="false"/>
          </w:tcPr>
          <w:p>
            <w:pPr>
              <w:pStyle w:val="779"/>
              <w:ind w:firstLine="0"/>
              <w:rPr>
                <w:rFonts w:ascii="宋体" w:hAnsi="宋体" w:cs="楷体"/>
                <w:color w:val="000000" w:themeColor="text1"/>
                <w:sz w:val="24"/>
                <w:u w:val="none"/>
              </w:rPr>
            </w:pPr>
            <w:r>
              <w:rPr>
                <w:rFonts w:ascii="Wingdings" w:hAnsi="Wingdings" w:eastAsia="Wingdings" w:cs="Wingdings"/>
                <w:color w:val="000000" w:themeColor="text1"/>
                <w:sz w:val="24"/>
                <w:u w:val="none"/>
              </w:rPr>
              <w:t xml:space="preserve"></w:t>
            </w:r>
            <w:r>
              <w:rPr>
                <w:rFonts w:hint="eastAsia" w:ascii="宋体" w:hAnsi="宋体" w:cs="楷体"/>
                <w:color w:val="000000" w:themeColor="text1"/>
                <w:sz w:val="24"/>
                <w:u w:val="none"/>
              </w:rPr>
              <w:t xml:space="preserve">A不要求提供。</w:t>
            </w:r>
            <w:r/>
          </w:p>
          <w:p>
            <w:pPr>
              <w:pStyle w:val="779"/>
              <w:ind w:firstLine="0"/>
              <w:rPr>
                <w:rFonts w:ascii="宋体" w:hAnsi="宋体" w:cs="楷体"/>
                <w:color w:val="000000" w:themeColor="text1"/>
                <w:sz w:val="24"/>
                <w:u w:val="none"/>
              </w:rPr>
            </w:pPr>
            <w:r>
              <w:rPr>
                <w:rFonts w:ascii="Wingdings 2" w:hAnsi="Wingdings 2" w:eastAsia="Wingdings 2" w:cs="Wingdings 2"/>
                <w:color w:val="000000" w:themeColor="text1"/>
                <w:sz w:val="24"/>
                <w:u w:val="none"/>
              </w:rPr>
              <w:t xml:space="preserve"></w:t>
            </w:r>
            <w:r>
              <w:rPr>
                <w:rFonts w:hint="eastAsia" w:ascii="宋体" w:hAnsi="宋体" w:cs="楷体"/>
                <w:color w:val="000000" w:themeColor="text1"/>
                <w:sz w:val="24"/>
                <w:u w:val="none"/>
              </w:rPr>
              <w:t xml:space="preserve">B要求提供</w:t>
            </w:r>
            <w:r/>
          </w:p>
          <w:p>
            <w:pPr>
              <w:pStyle w:val="779"/>
              <w:ind w:firstLine="0"/>
              <w:rPr>
                <w:rFonts w:ascii="宋体" w:hAnsi="宋体" w:cs="楷体"/>
                <w:color w:val="000000" w:themeColor="text1"/>
                <w:sz w:val="24"/>
                <w:u w:val="none"/>
              </w:rPr>
            </w:pPr>
            <w:r>
              <w:rPr>
                <w:rFonts w:ascii="宋体" w:hAnsi="宋体" w:cs="楷体"/>
                <w:color w:val="000000" w:themeColor="text1"/>
                <w:sz w:val="24"/>
                <w:u w:val="none"/>
              </w:rPr>
            </w:r>
            <w:r/>
          </w:p>
        </w:tc>
      </w:tr>
      <w:tr>
        <w:trPr/>
        <w:tc>
          <w:tcPr>
            <w:tcW w:w="816"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7</w:t>
            </w:r>
            <w:r/>
          </w:p>
        </w:tc>
        <w:tc>
          <w:tcPr>
            <w:tcW w:w="1994" w:type="dxa"/>
            <w:vAlign w:val="center"/>
            <w:textDirection w:val="lrTb"/>
            <w:noWrap w:val="false"/>
          </w:tcPr>
          <w:p>
            <w:pPr>
              <w:pStyle w:val="779"/>
              <w:ind w:firstLine="0"/>
              <w:jc w:val="center"/>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是否允许采购进口产品</w:t>
            </w:r>
            <w:r/>
          </w:p>
        </w:tc>
        <w:tc>
          <w:tcPr>
            <w:tcW w:w="6819" w:type="dxa"/>
            <w:vAlign w:val="center"/>
            <w:textDirection w:val="lrTb"/>
            <w:noWrap w:val="false"/>
          </w:tcPr>
          <w:p>
            <w:pPr>
              <w:pStyle w:val="779"/>
              <w:ind w:firstLine="0"/>
              <w:rPr>
                <w:rFonts w:ascii="宋体" w:hAnsi="宋体" w:cs="楷体"/>
                <w:color w:val="000000" w:themeColor="text1"/>
                <w:sz w:val="24"/>
                <w:u w:val="none"/>
                <w:lang w:eastAsia="zh-CN"/>
              </w:rPr>
            </w:pPr>
            <w:r>
              <w:rPr>
                <w:rFonts w:ascii="Wingdings" w:hAnsi="Wingdings" w:eastAsia="Wingdings" w:cs="Wingdings"/>
                <w:color w:val="000000" w:themeColor="text1"/>
                <w:sz w:val="24"/>
                <w:u w:val="none"/>
                <w:lang w:eastAsia="zh-CN"/>
              </w:rPr>
              <w:t xml:space="preserve"></w:t>
            </w:r>
            <w:r>
              <w:rPr>
                <w:rFonts w:hint="eastAsia" w:ascii="宋体" w:hAnsi="宋体" w:cs="楷体"/>
                <w:color w:val="000000" w:themeColor="text1"/>
                <w:sz w:val="24"/>
                <w:u w:val="none"/>
                <w:lang w:eastAsia="zh-CN"/>
              </w:rPr>
              <w:t xml:space="preserve">A本项目不允许采购进口产品。</w:t>
            </w:r>
            <w:r/>
          </w:p>
          <w:p>
            <w:pPr>
              <w:pStyle w:val="779"/>
              <w:ind w:firstLine="0"/>
              <w:rPr>
                <w:rFonts w:ascii="宋体" w:hAnsi="宋体" w:cs="楷体"/>
                <w:color w:val="000000" w:themeColor="text1"/>
                <w:sz w:val="24"/>
                <w:u w:val="none"/>
                <w:lang w:eastAsia="zh-CN"/>
              </w:rPr>
            </w:pPr>
            <w:r>
              <w:rPr>
                <w:rFonts w:ascii="Wingdings 2" w:hAnsi="Wingdings 2" w:eastAsia="Wingdings 2" w:cs="Wingdings 2"/>
                <w:color w:val="000000" w:themeColor="text1"/>
                <w:sz w:val="24"/>
                <w:u w:val="none"/>
                <w:lang w:eastAsia="zh-CN"/>
              </w:rPr>
              <w:t xml:space="preserve"></w:t>
            </w:r>
            <w:r>
              <w:rPr>
                <w:rFonts w:hint="eastAsia" w:ascii="宋体" w:hAnsi="宋体" w:cs="楷体"/>
                <w:color w:val="000000" w:themeColor="text1"/>
                <w:sz w:val="24"/>
                <w:u w:val="none"/>
                <w:lang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8</w:t>
            </w:r>
            <w:r/>
          </w:p>
        </w:tc>
        <w:tc>
          <w:tcPr>
            <w:tcW w:w="1994"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项目属性与核心产品</w:t>
            </w:r>
            <w:r/>
          </w:p>
        </w:tc>
        <w:tc>
          <w:tcPr>
            <w:tcW w:w="6819" w:type="dxa"/>
            <w:vAlign w:val="center"/>
            <w:textDirection w:val="lrTb"/>
            <w:noWrap w:val="false"/>
          </w:tcPr>
          <w:p>
            <w:pPr>
              <w:pStyle w:val="779"/>
              <w:ind w:firstLine="0"/>
              <w:rPr>
                <w:rFonts w:ascii="宋体" w:hAnsi="宋体" w:cs="楷体"/>
                <w:color w:val="000000" w:themeColor="text1"/>
                <w:sz w:val="24"/>
                <w:u w:val="none"/>
                <w:lang w:eastAsia="zh-CN"/>
              </w:rPr>
            </w:pPr>
            <w:r>
              <w:rPr>
                <w:rFonts w:ascii="Wingdings" w:hAnsi="Wingdings" w:eastAsia="Wingdings" w:cs="Wingdings"/>
                <w:color w:val="000000" w:themeColor="text1"/>
                <w:sz w:val="24"/>
                <w:u w:val="none"/>
                <w:lang w:eastAsia="zh-CN"/>
              </w:rPr>
              <w:t xml:space="preserve"></w:t>
            </w:r>
            <w:r>
              <w:rPr>
                <w:rFonts w:hint="eastAsia" w:ascii="宋体" w:hAnsi="宋体" w:cs="楷体"/>
                <w:color w:val="000000" w:themeColor="text1"/>
                <w:sz w:val="24"/>
                <w:u w:val="none"/>
                <w:lang w:eastAsia="zh-CN"/>
              </w:rPr>
              <w:t xml:space="preserve">A货物类。</w:t>
            </w:r>
            <w:r/>
          </w:p>
          <w:p>
            <w:pPr>
              <w:pStyle w:val="779"/>
              <w:ind w:firstLine="0"/>
              <w:rPr>
                <w:rFonts w:ascii="宋体" w:hAnsi="宋体" w:cs="楷体"/>
                <w:color w:val="000000" w:themeColor="text1"/>
                <w:sz w:val="24"/>
                <w:u w:val="none"/>
                <w:lang w:eastAsia="zh-CN"/>
              </w:rPr>
            </w:pPr>
            <w:r>
              <w:rPr>
                <w:rFonts w:ascii="Wingdings 2" w:hAnsi="Wingdings 2" w:eastAsia="Wingdings 2" w:cs="Wingdings 2"/>
                <w:color w:val="000000" w:themeColor="text1"/>
                <w:sz w:val="24"/>
                <w:u w:val="none"/>
                <w:lang w:eastAsia="zh-CN"/>
              </w:rPr>
              <w:t xml:space="preserve"></w:t>
            </w:r>
            <w:r>
              <w:rPr>
                <w:rFonts w:hint="eastAsia" w:ascii="宋体" w:hAnsi="宋体" w:cs="楷体"/>
                <w:color w:val="000000" w:themeColor="text1"/>
                <w:sz w:val="24"/>
                <w:u w:val="none"/>
                <w:lang w:eastAsia="zh-CN"/>
              </w:rPr>
              <w:t xml:space="preserve">B服务类。</w:t>
            </w:r>
            <w:r/>
          </w:p>
          <w:p>
            <w:pPr>
              <w:pStyle w:val="779"/>
              <w:ind w:firstLine="0"/>
              <w:rPr>
                <w:rFonts w:ascii="宋体" w:hAnsi="宋体" w:cs="楷体"/>
                <w:color w:val="000000" w:themeColor="text1"/>
                <w:sz w:val="24"/>
                <w:highlight w:val="white"/>
                <w:u w:val="none"/>
                <w:lang w:eastAsia="zh-CN"/>
              </w:rPr>
            </w:pPr>
            <w:r>
              <w:rPr>
                <w:rFonts w:hint="eastAsia" w:ascii="宋体" w:hAnsi="宋体" w:cs="楷体"/>
                <w:color w:val="000000" w:themeColor="text1"/>
                <w:sz w:val="24"/>
                <w:u w:val="none"/>
                <w:lang w:eastAsia="zh-CN"/>
              </w:rPr>
              <w:t xml:space="preserve">本项目核心产品为：</w:t>
            </w:r>
            <w:r>
              <w:rPr>
                <w:rFonts w:hint="eastAsia" w:ascii="宋体" w:hAnsi="宋体" w:cs="宋体"/>
                <w:color w:val="000000" w:themeColor="text1"/>
                <w:sz w:val="24"/>
                <w:u w:val="none"/>
                <w:lang w:eastAsia="zh-CN" w:bidi="ar"/>
              </w:rPr>
              <w:t xml:space="preserve">篮球、排球计时记分系统，短跑、中长跑AI立柜式一体机。</w:t>
            </w:r>
            <w:r/>
          </w:p>
        </w:tc>
      </w:tr>
      <w:tr>
        <w:trPr/>
        <w:tc>
          <w:tcPr>
            <w:tcW w:w="816"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9</w:t>
            </w:r>
            <w:r/>
          </w:p>
        </w:tc>
        <w:tc>
          <w:tcPr>
            <w:tcW w:w="1994" w:type="dxa"/>
            <w:vAlign w:val="center"/>
            <w:textDirection w:val="lrTb"/>
            <w:noWrap w:val="false"/>
          </w:tcPr>
          <w:p>
            <w:pPr>
              <w:pStyle w:val="779"/>
              <w:ind w:firstLine="0"/>
              <w:jc w:val="center"/>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采购标的对应的中小企业划分标准所属行业</w:t>
            </w:r>
            <w:r/>
          </w:p>
        </w:tc>
        <w:tc>
          <w:tcPr>
            <w:tcW w:w="6819" w:type="dxa"/>
            <w:vAlign w:val="center"/>
            <w:textDirection w:val="lrTb"/>
            <w:noWrap w:val="false"/>
          </w:tcPr>
          <w:p>
            <w:pPr>
              <w:pStyle w:val="779"/>
              <w:ind w:firstLine="0"/>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（1）标的：</w:t>
            </w:r>
            <w:r>
              <w:rPr>
                <w:rFonts w:hint="eastAsia" w:ascii="宋体" w:hAnsi="宋体"/>
                <w:color w:val="000000" w:themeColor="text1"/>
                <w:sz w:val="24"/>
                <w:szCs w:val="28"/>
                <w:u w:val="none"/>
                <w:lang w:eastAsia="zh-CN"/>
              </w:rPr>
              <w:t xml:space="preserve">江苏省句容高级中学异地新建工程学校设备采购（体育健身器材）</w:t>
            </w:r>
            <w:r>
              <w:rPr>
                <w:rFonts w:hint="eastAsia" w:ascii="宋体" w:hAnsi="宋体" w:cs="楷体"/>
                <w:color w:val="000000" w:themeColor="text1"/>
                <w:sz w:val="24"/>
                <w:u w:val="none"/>
                <w:lang w:eastAsia="zh-CN"/>
              </w:rPr>
              <w:t xml:space="preserve">，属于行业：工业行业</w:t>
            </w:r>
            <w:r/>
          </w:p>
          <w:p>
            <w:pPr>
              <w:pStyle w:val="779"/>
              <w:ind w:firstLine="0"/>
              <w:rPr>
                <w:rFonts w:ascii="宋体" w:hAnsi="宋体" w:cs="楷体"/>
                <w:color w:val="000000" w:themeColor="text1"/>
                <w:sz w:val="24"/>
                <w:u w:val="none"/>
              </w:rPr>
            </w:pPr>
            <w:r>
              <w:rPr>
                <w:rFonts w:ascii="宋体" w:hAnsi="宋体" w:cs="楷体"/>
                <w:color w:val="000000" w:themeColor="text1"/>
                <w:sz w:val="24"/>
                <w:u w:val="none"/>
              </w:rPr>
              <w:t xml:space="preserve">……</w:t>
            </w:r>
            <w:r/>
          </w:p>
        </w:tc>
      </w:tr>
      <w:tr>
        <w:trPr/>
        <w:tc>
          <w:tcPr>
            <w:tcW w:w="816"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10</w:t>
            </w:r>
            <w:r/>
          </w:p>
        </w:tc>
        <w:tc>
          <w:tcPr>
            <w:tcW w:w="1994" w:type="dxa"/>
            <w:vAlign w:val="center"/>
            <w:textDirection w:val="lrTb"/>
            <w:noWrap w:val="false"/>
          </w:tcPr>
          <w:p>
            <w:pPr>
              <w:pStyle w:val="779"/>
              <w:ind w:firstLine="0"/>
              <w:jc w:val="center"/>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节能产品、环境标志产品</w:t>
            </w:r>
            <w:r/>
          </w:p>
        </w:tc>
        <w:tc>
          <w:tcPr>
            <w:tcW w:w="6819" w:type="dxa"/>
            <w:vAlign w:val="center"/>
            <w:textDirection w:val="lrTb"/>
            <w:noWrap w:val="false"/>
          </w:tcPr>
          <w:p>
            <w:pPr>
              <w:pStyle w:val="779"/>
              <w:ind w:firstLine="0"/>
              <w:rPr>
                <w:rFonts w:ascii="宋体" w:hAnsi="宋体" w:cs="楷体"/>
                <w:color w:val="000000" w:themeColor="text1"/>
                <w:sz w:val="24"/>
                <w:u w:val="none"/>
              </w:rPr>
            </w:pPr>
            <w:r>
              <w:rPr>
                <w:rFonts w:hint="eastAsia" w:ascii="宋体" w:hAnsi="宋体"/>
                <w:color w:val="000000" w:themeColor="text1"/>
                <w:sz w:val="24"/>
                <w:u w:val="none"/>
              </w:rPr>
              <w:t xml:space="preserve">无</w:t>
            </w:r>
            <w:r/>
          </w:p>
        </w:tc>
      </w:tr>
      <w:tr>
        <w:trPr/>
        <w:tc>
          <w:tcPr>
            <w:tcW w:w="816"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11</w:t>
            </w:r>
            <w:r/>
          </w:p>
        </w:tc>
        <w:tc>
          <w:tcPr>
            <w:tcW w:w="1994"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中小企业信用融资</w:t>
            </w:r>
            <w:r/>
          </w:p>
        </w:tc>
        <w:tc>
          <w:tcPr>
            <w:tcW w:w="6819" w:type="dxa"/>
            <w:vAlign w:val="center"/>
            <w:textDirection w:val="lrTb"/>
            <w:noWrap w:val="false"/>
          </w:tcPr>
          <w:p>
            <w:pPr>
              <w:pStyle w:val="779"/>
              <w:ind w:firstLine="0"/>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为进一步发挥政府采购政策导向作用，有效缓解企业融资难题，推进完善应收账款融资服务平台的融资服务功能，促进中小微企业平稳健康发展，</w:t>
            </w:r>
            <w:bookmarkStart w:id="51" w:name="_Hlk136445673"/>
            <w:r>
              <w:rPr>
                <w:rFonts w:hint="eastAsia" w:ascii="宋体" w:hAnsi="宋体" w:cs="楷体"/>
                <w:color w:val="000000" w:themeColor="text1"/>
                <w:sz w:val="24"/>
                <w:u w:val="none"/>
                <w:lang w:eastAsia="zh-CN"/>
              </w:rPr>
              <w:t xml:space="preserve">镇江市财政局和中国人民银行镇江市中心支行联合印发《关于转发〈关于深入推进政府采购线上合同信用融资工作的通知〉的通知》</w:t>
            </w:r>
            <w:bookmarkEnd w:id="51"/>
            <w:r>
              <w:rPr>
                <w:rFonts w:hint="eastAsia" w:ascii="宋体" w:hAnsi="宋体" w:cs="楷体"/>
                <w:color w:val="000000" w:themeColor="text1"/>
                <w:sz w:val="24"/>
                <w:u w:val="none"/>
                <w:lang w:eastAsia="zh-CN"/>
              </w:rPr>
              <w:t xml:space="preserve">，</w:t>
            </w:r>
            <w:bookmarkStart w:id="52" w:name="_Hlk136444446"/>
            <w:r>
              <w:rPr>
                <w:rFonts w:hint="eastAsia" w:ascii="宋体" w:hAnsi="宋体" w:cs="楷体"/>
                <w:color w:val="000000" w:themeColor="text1"/>
                <w:sz w:val="24"/>
                <w:u w:val="none"/>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2"/>
            <w:r>
              <w:rPr>
                <w:rFonts w:hint="eastAsia" w:ascii="宋体" w:hAnsi="宋体" w:cs="楷体"/>
                <w:color w:val="000000" w:themeColor="text1"/>
                <w:sz w:val="24"/>
                <w:u w:val="none"/>
                <w:lang w:eastAsia="zh-CN"/>
              </w:rPr>
              <w:t xml:space="preserve">办理流程详见江苏政府采购网“政采贷”栏目，网址：</w:t>
            </w:r>
            <w:r>
              <w:rPr>
                <w:rFonts w:ascii="宋体" w:hAnsi="宋体" w:cs="楷体"/>
                <w:color w:val="000000" w:themeColor="text1"/>
                <w:sz w:val="24"/>
                <w:u w:val="none"/>
                <w:lang w:eastAsia="zh-CN"/>
              </w:rPr>
              <w:t xml:space="preserve">http://www.ccgp-jiangsu.gov.cn/jiangsu/paying.html</w:t>
            </w:r>
            <w:r>
              <w:rPr>
                <w:rFonts w:hint="eastAsia" w:ascii="宋体" w:hAnsi="宋体" w:cs="楷体"/>
                <w:color w:val="000000" w:themeColor="text1"/>
                <w:sz w:val="24"/>
                <w:u w:val="none"/>
                <w:lang w:eastAsia="zh-CN"/>
              </w:rPr>
              <w:t xml:space="preserve">咨询电话：镇江市财政局政府采购处0</w:t>
            </w:r>
            <w:r>
              <w:rPr>
                <w:rFonts w:ascii="宋体" w:hAnsi="宋体" w:cs="楷体"/>
                <w:color w:val="000000" w:themeColor="text1"/>
                <w:sz w:val="24"/>
                <w:u w:val="none"/>
                <w:lang w:eastAsia="zh-CN"/>
              </w:rPr>
              <w:t xml:space="preserve">511-80909958</w:t>
            </w:r>
            <w:r>
              <w:rPr>
                <w:rFonts w:hint="eastAsia" w:ascii="宋体" w:hAnsi="宋体" w:cs="楷体"/>
                <w:color w:val="000000" w:themeColor="text1"/>
                <w:sz w:val="24"/>
                <w:u w:val="none"/>
                <w:lang w:eastAsia="zh-CN"/>
              </w:rPr>
              <w:t xml:space="preserve">。</w:t>
            </w:r>
            <w:r/>
          </w:p>
        </w:tc>
      </w:tr>
      <w:tr>
        <w:trPr/>
        <w:tc>
          <w:tcPr>
            <w:tcW w:w="816"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12</w:t>
            </w:r>
            <w:r/>
          </w:p>
        </w:tc>
        <w:tc>
          <w:tcPr>
            <w:tcW w:w="1994" w:type="dxa"/>
            <w:vAlign w:val="center"/>
            <w:textDirection w:val="lrTb"/>
            <w:noWrap w:val="false"/>
          </w:tcPr>
          <w:p>
            <w:pPr>
              <w:pStyle w:val="779"/>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特别说明</w:t>
            </w:r>
            <w:r/>
          </w:p>
        </w:tc>
        <w:tc>
          <w:tcPr>
            <w:tcW w:w="6819" w:type="dxa"/>
            <w:vAlign w:val="center"/>
            <w:textDirection w:val="lrTb"/>
            <w:noWrap w:val="false"/>
          </w:tcPr>
          <w:p>
            <w:pPr>
              <w:pStyle w:val="779"/>
              <w:ind w:firstLine="0"/>
              <w:rPr>
                <w:rFonts w:ascii="宋体" w:hAnsi="宋体" w:cs="楷体"/>
                <w:i/>
                <w:iCs/>
                <w:color w:val="000000" w:themeColor="text1"/>
                <w:sz w:val="24"/>
                <w:u w:val="none"/>
              </w:rPr>
            </w:pPr>
            <w:r>
              <w:rPr>
                <w:rFonts w:ascii="宋体" w:hAnsi="宋体" w:cs="楷体"/>
                <w:color w:val="000000" w:themeColor="text1"/>
                <w:sz w:val="24"/>
                <w:u w:val="none"/>
              </w:rPr>
              <w:t xml:space="preserve">无</w:t>
            </w:r>
            <w:r/>
          </w:p>
        </w:tc>
      </w:tr>
    </w:tbl>
    <w:p>
      <w:pPr>
        <w:rPr>
          <w:color w:val="000000"/>
          <w:u w:val="none"/>
        </w:rPr>
      </w:pPr>
      <w:r>
        <w:rPr>
          <w:color w:val="000000"/>
          <w:u w:val="none"/>
        </w:rPr>
      </w:r>
      <w:r/>
    </w:p>
    <w:p>
      <w:pPr>
        <w:rPr>
          <w:color w:val="000000"/>
          <w:u w:val="none"/>
        </w:rPr>
      </w:pPr>
      <w:r>
        <w:rPr>
          <w:color w:val="000000"/>
          <w:u w:val="none"/>
        </w:rPr>
      </w:r>
      <w:r/>
    </w:p>
    <w:p>
      <w:pPr>
        <w:rPr>
          <w:color w:val="000000"/>
          <w:u w:val="none"/>
        </w:rPr>
      </w:pPr>
      <w:r>
        <w:rPr>
          <w:color w:val="000000"/>
          <w:u w:val="none"/>
        </w:rPr>
      </w:r>
      <w:r/>
    </w:p>
    <w:p>
      <w:pPr>
        <w:rPr>
          <w:color w:val="000000"/>
          <w:u w:val="none"/>
        </w:rPr>
      </w:pPr>
      <w:r>
        <w:rPr>
          <w:color w:val="000000"/>
          <w:u w:val="none"/>
        </w:rPr>
      </w:r>
      <w:r/>
    </w:p>
    <w:p>
      <w:pPr>
        <w:rPr>
          <w:rFonts w:hint="eastAsia" w:ascii="宋体" w:hAnsi="宋体" w:eastAsia="宋体"/>
          <w:color w:val="000000"/>
          <w:sz w:val="32"/>
          <w:u w:val="none"/>
        </w:rPr>
      </w:pPr>
      <w:r/>
      <w:bookmarkStart w:id="53" w:name="_Toc73365467"/>
      <w:r/>
      <w:bookmarkStart w:id="54" w:name="_Toc73364854"/>
      <w:r/>
      <w:bookmarkStart w:id="55" w:name="_Toc256000011"/>
      <w:r>
        <w:rPr>
          <w:rFonts w:hint="eastAsia" w:ascii="宋体" w:hAnsi="宋体" w:eastAsia="宋体"/>
          <w:color w:val="000000"/>
          <w:sz w:val="32"/>
          <w:u w:val="none"/>
        </w:rPr>
        <w:br w:type="page" w:clear="all"/>
      </w:r>
      <w:r/>
    </w:p>
    <w:p>
      <w:pPr>
        <w:pStyle w:val="1034"/>
        <w:rPr>
          <w:rFonts w:ascii="宋体" w:hAnsi="宋体" w:eastAsia="宋体"/>
          <w:color w:val="000000"/>
          <w:sz w:val="32"/>
          <w:u w:val="none"/>
        </w:rPr>
      </w:pPr>
      <w:r>
        <w:rPr>
          <w:rFonts w:hint="eastAsia" w:ascii="宋体" w:hAnsi="宋体" w:eastAsia="宋体"/>
          <w:color w:val="000000"/>
          <w:sz w:val="32"/>
          <w:u w:val="none"/>
        </w:rPr>
        <w:t xml:space="preserve">一、总  则</w:t>
      </w:r>
      <w:bookmarkEnd w:id="53"/>
      <w:r/>
      <w:bookmarkEnd w:id="54"/>
      <w:r/>
      <w:bookmarkEnd w:id="55"/>
      <w:r/>
      <w:r/>
    </w:p>
    <w:p>
      <w:pPr>
        <w:pStyle w:val="1036"/>
        <w:ind w:firstLine="446"/>
        <w:keepLines w:val="0"/>
        <w:keepNext w:val="0"/>
        <w:spacing w:before="0" w:after="0" w:line="360" w:lineRule="auto"/>
        <w:rPr>
          <w:rFonts w:ascii="宋体" w:hAnsi="宋体"/>
          <w:color w:val="000000"/>
          <w:sz w:val="30"/>
          <w:u w:val="none"/>
        </w:rPr>
      </w:pPr>
      <w:r/>
      <w:bookmarkStart w:id="56" w:name="_Toc256000012"/>
      <w:r/>
      <w:bookmarkStart w:id="57" w:name="_Toc73364855"/>
      <w:r/>
      <w:bookmarkStart w:id="58" w:name="_Toc73365468"/>
      <w:r>
        <w:rPr>
          <w:rFonts w:hint="eastAsia" w:ascii="宋体" w:hAnsi="宋体"/>
          <w:color w:val="000000"/>
          <w:sz w:val="30"/>
          <w:u w:val="none"/>
        </w:rPr>
        <w:t xml:space="preserve">1．适用范围</w:t>
      </w:r>
      <w:bookmarkEnd w:id="56"/>
      <w:r/>
      <w:bookmarkEnd w:id="57"/>
      <w:r/>
      <w:bookmarkEnd w:id="58"/>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1.1本磋商文件仅适用于</w:t>
      </w:r>
      <w:r>
        <w:rPr>
          <w:rFonts w:hint="eastAsia" w:ascii="宋体" w:hAnsi="宋体"/>
          <w:color w:val="000000"/>
          <w:sz w:val="24"/>
          <w:szCs w:val="28"/>
          <w:u w:val="none"/>
          <w:lang w:eastAsia="zh-CN"/>
        </w:rPr>
        <w:t xml:space="preserve">江苏省句容高级中学异地新建工程学校设备采购（体育健身器材）</w:t>
      </w:r>
      <w:r>
        <w:rPr>
          <w:rFonts w:hint="eastAsia" w:ascii="宋体" w:hAnsi="宋体" w:cs="隶书"/>
          <w:color w:val="000000"/>
          <w:sz w:val="24"/>
          <w:u w:val="none"/>
        </w:rPr>
        <w:t xml:space="preserve">。</w:t>
      </w:r>
      <w:r/>
    </w:p>
    <w:p>
      <w:pPr>
        <w:pStyle w:val="1036"/>
        <w:ind w:firstLine="446"/>
        <w:keepLines w:val="0"/>
        <w:keepNext w:val="0"/>
        <w:spacing w:before="200" w:after="200" w:line="360" w:lineRule="auto"/>
        <w:rPr>
          <w:rFonts w:ascii="宋体" w:hAnsi="宋体"/>
          <w:color w:val="000000"/>
          <w:sz w:val="30"/>
          <w:u w:val="none"/>
          <w:lang w:eastAsia="zh-CN"/>
        </w:rPr>
      </w:pPr>
      <w:r/>
      <w:bookmarkStart w:id="59" w:name="_Toc256000013"/>
      <w:r/>
      <w:bookmarkStart w:id="60" w:name="_Toc73364856"/>
      <w:r/>
      <w:bookmarkStart w:id="61" w:name="_Toc73365469"/>
      <w:r>
        <w:rPr>
          <w:rFonts w:hint="eastAsia" w:ascii="宋体" w:hAnsi="宋体"/>
          <w:color w:val="000000"/>
          <w:sz w:val="30"/>
          <w:u w:val="none"/>
          <w:lang w:eastAsia="zh-CN"/>
        </w:rPr>
        <w:t xml:space="preserve">2．定义</w:t>
      </w:r>
      <w:bookmarkEnd w:id="59"/>
      <w:r/>
      <w:bookmarkEnd w:id="60"/>
      <w:r/>
      <w:bookmarkEnd w:id="61"/>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磋商文件中下列术语应解释为：</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2.1“磋商组织方”系指采购代理机构或采购单位，即：</w:t>
      </w:r>
      <w:r>
        <w:rPr>
          <w:rFonts w:hint="eastAsia" w:ascii="宋体" w:hAnsi="宋体"/>
          <w:color w:val="000000"/>
          <w:sz w:val="24"/>
          <w:u w:val="none"/>
          <w:lang w:eastAsia="zh-CN"/>
        </w:rPr>
        <w:t xml:space="preserve">江苏镇江千寻工程咨询有限公司</w:t>
      </w:r>
      <w:r>
        <w:rPr>
          <w:rFonts w:hint="eastAsia" w:ascii="宋体" w:hAnsi="宋体"/>
          <w:color w:val="000000"/>
          <w:sz w:val="24"/>
          <w:u w:val="none"/>
        </w:rPr>
        <w:t xml:space="preserve">。</w:t>
      </w:r>
      <w:r/>
    </w:p>
    <w:p>
      <w:pPr>
        <w:ind w:firstLine="480"/>
        <w:spacing w:line="360" w:lineRule="auto"/>
        <w:rPr>
          <w:rFonts w:hint="eastAsia" w:ascii="宋体" w:hAnsi="宋体" w:cs="隶书"/>
          <w:color w:val="000000" w:themeColor="text1"/>
          <w:sz w:val="24"/>
          <w:u w:val="none"/>
        </w:rPr>
      </w:pPr>
      <w:r>
        <w:rPr>
          <w:rFonts w:hint="eastAsia" w:ascii="宋体" w:hAnsi="宋体"/>
          <w:color w:val="000000"/>
          <w:sz w:val="24"/>
          <w:u w:val="none"/>
        </w:rPr>
        <w:t xml:space="preserve">2.2“采购人”系指依法进行政府采购的国家机关、事业单位、团体组织，即：</w:t>
      </w:r>
      <w:r>
        <w:rPr>
          <w:rFonts w:hint="eastAsia" w:ascii="宋体" w:hAnsi="宋体" w:cs="隶书"/>
          <w:color w:val="000000" w:themeColor="text1"/>
          <w:sz w:val="24"/>
          <w:u w:val="none"/>
        </w:rPr>
        <w:t xml:space="preserve">句容市教育局</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2.3“供应商”系指向采购人提供货物、工程或者服务的法人、其他组织或者自然人。</w:t>
      </w:r>
      <w:r/>
    </w:p>
    <w:p>
      <w:pPr>
        <w:ind w:firstLine="480"/>
        <w:spacing w:line="360" w:lineRule="auto"/>
        <w:rPr>
          <w:rFonts w:ascii="宋体" w:hAnsi="宋体" w:cs="隶书"/>
          <w:color w:val="000000" w:themeColor="text1"/>
          <w:sz w:val="24"/>
          <w:u w:val="none"/>
        </w:rPr>
      </w:pPr>
      <w:r>
        <w:rPr>
          <w:rFonts w:hint="eastAsia" w:ascii="宋体" w:hAnsi="宋体"/>
          <w:color w:val="000000"/>
          <w:sz w:val="24"/>
          <w:u w:val="none"/>
        </w:rPr>
        <w:t xml:space="preserve">2.4</w:t>
      </w:r>
      <w:r>
        <w:rPr>
          <w:rFonts w:hint="eastAsia" w:ascii="宋体" w:hAnsi="宋体"/>
          <w:color w:val="000000" w:themeColor="text1"/>
          <w:sz w:val="24"/>
          <w:u w:val="none"/>
        </w:rPr>
        <w:t xml:space="preserve">“货物”系指本招标文件所述采购标的涉及的各种形态和种类的物品，即：</w:t>
      </w:r>
      <w:r>
        <w:rPr>
          <w:rFonts w:hint="eastAsia" w:ascii="宋体" w:hAnsi="宋体" w:cs="隶书"/>
          <w:color w:val="000000" w:themeColor="text1"/>
          <w:sz w:val="24"/>
          <w:u w:val="none"/>
        </w:rPr>
        <w:t xml:space="preserve">江苏省句容高级中学异地新建工程学校设备采购（体育健身器材）。</w:t>
      </w:r>
      <w:r/>
    </w:p>
    <w:p>
      <w:pPr>
        <w:ind w:firstLine="480"/>
        <w:spacing w:line="360" w:lineRule="auto"/>
        <w:rPr>
          <w:rFonts w:ascii="宋体" w:hAnsi="宋体"/>
          <w:color w:val="000000"/>
          <w:sz w:val="24"/>
          <w:u w:val="none"/>
        </w:rPr>
      </w:pPr>
      <w:r>
        <w:rPr>
          <w:rFonts w:ascii="宋体" w:hAnsi="宋体"/>
          <w:color w:val="000000"/>
          <w:sz w:val="24"/>
          <w:u w:val="none"/>
        </w:rPr>
      </w:r>
      <w:r/>
    </w:p>
    <w:p>
      <w:pPr>
        <w:pStyle w:val="1036"/>
        <w:ind w:firstLine="446"/>
        <w:keepLines w:val="0"/>
        <w:keepNext w:val="0"/>
        <w:spacing w:line="360" w:lineRule="auto"/>
        <w:rPr>
          <w:rFonts w:ascii="宋体" w:hAnsi="宋体"/>
          <w:color w:val="000000"/>
          <w:sz w:val="30"/>
          <w:u w:val="none"/>
          <w:lang w:eastAsia="zh-CN"/>
        </w:rPr>
      </w:pPr>
      <w:r/>
      <w:bookmarkStart w:id="62" w:name="_Toc73365470"/>
      <w:r/>
      <w:bookmarkStart w:id="63" w:name="_Toc73364857"/>
      <w:r/>
      <w:bookmarkStart w:id="64" w:name="_Toc256000014"/>
      <w:r>
        <w:rPr>
          <w:rFonts w:hint="eastAsia" w:ascii="宋体" w:hAnsi="宋体"/>
          <w:color w:val="000000"/>
          <w:sz w:val="30"/>
          <w:u w:val="none"/>
          <w:lang w:eastAsia="zh-CN"/>
        </w:rPr>
        <w:t xml:space="preserve">3．本次采购方式</w:t>
      </w:r>
      <w:bookmarkEnd w:id="62"/>
      <w:r/>
      <w:bookmarkEnd w:id="63"/>
      <w:r/>
      <w:bookmarkEnd w:id="64"/>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3.1本次采购采取竞争性磋商采购方式：综合评分法。</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3.2是否接受进口产品：否</w:t>
      </w:r>
      <w:bookmarkStart w:id="65" w:name="EBb827a1ee09c24503810ef107662edd9b"/>
      <w:r>
        <w:rPr>
          <w:rFonts w:ascii="宋体" w:hAnsi="宋体"/>
          <w:color w:val="000000"/>
          <w:sz w:val="24"/>
          <w:u w:val="none"/>
        </w:rPr>
        <w:t xml:space="preserve"> </w:t>
      </w:r>
      <w:bookmarkEnd w:id="65"/>
      <w:r/>
      <w:bookmarkStart w:id="66" w:name="EB864908c2907a43c2b4173db210221033"/>
      <w:r>
        <w:rPr>
          <w:rFonts w:ascii="宋体" w:hAnsi="宋体"/>
          <w:color w:val="000000"/>
          <w:sz w:val="24"/>
          <w:u w:val="none"/>
        </w:rPr>
        <w:t xml:space="preserve"> </w:t>
      </w:r>
      <w:bookmarkEnd w:id="66"/>
      <w:r/>
      <w:bookmarkStart w:id="67" w:name="EB326aa1936df44aef9d1be4dfa91c7594"/>
      <w:r>
        <w:rPr>
          <w:rFonts w:ascii="宋体" w:hAnsi="宋体"/>
          <w:color w:val="000000"/>
          <w:sz w:val="24"/>
          <w:u w:val="none"/>
        </w:rPr>
        <w:t xml:space="preserve"> </w:t>
      </w:r>
      <w:bookmarkEnd w:id="67"/>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3.3本项目资格审查方式：资格后审</w:t>
      </w:r>
      <w:bookmarkStart w:id="68" w:name="EB554d20e884b34f068f9abf5c2900c4d1"/>
      <w:r>
        <w:rPr>
          <w:rFonts w:ascii="宋体" w:hAnsi="宋体"/>
          <w:color w:val="000000"/>
          <w:sz w:val="24"/>
          <w:u w:val="none"/>
        </w:rPr>
        <w:t xml:space="preserve"> </w:t>
      </w:r>
      <w:bookmarkEnd w:id="68"/>
      <w:r/>
      <w:bookmarkStart w:id="69" w:name="EB95604dcf296947de98be329cdd95192a"/>
      <w:r>
        <w:rPr>
          <w:rFonts w:ascii="宋体" w:hAnsi="宋体"/>
          <w:color w:val="000000"/>
          <w:sz w:val="24"/>
          <w:u w:val="none"/>
        </w:rPr>
        <w:t xml:space="preserve"> </w:t>
      </w:r>
      <w:bookmarkEnd w:id="69"/>
      <w:r/>
      <w:bookmarkStart w:id="70" w:name="EBeaa6884fb96b4a01bb14112961cfa20a"/>
      <w:r>
        <w:rPr>
          <w:rFonts w:ascii="宋体" w:hAnsi="宋体"/>
          <w:color w:val="000000"/>
          <w:sz w:val="24"/>
          <w:u w:val="none"/>
        </w:rPr>
        <w:t xml:space="preserve"> </w:t>
      </w:r>
      <w:bookmarkEnd w:id="70"/>
      <w:r/>
      <w:r/>
    </w:p>
    <w:p>
      <w:pPr>
        <w:ind w:firstLine="480"/>
        <w:spacing w:line="360" w:lineRule="auto"/>
        <w:rPr>
          <w:rFonts w:ascii="宋体" w:hAnsi="宋体"/>
          <w:color w:val="000000"/>
          <w:sz w:val="24"/>
          <w:szCs w:val="28"/>
          <w:u w:val="none"/>
        </w:rPr>
      </w:pPr>
      <w:r>
        <w:rPr>
          <w:rFonts w:hint="eastAsia" w:ascii="宋体" w:hAnsi="宋体"/>
          <w:color w:val="000000"/>
          <w:sz w:val="24"/>
          <w:u w:val="none"/>
        </w:rPr>
        <w:t xml:space="preserve">3.4 本次采购确定的成交人数量：</w:t>
      </w:r>
      <w:bookmarkStart w:id="71" w:name="EB239bc7938d02463888f23182e5e568e7"/>
      <w:r>
        <w:rPr>
          <w:rFonts w:hint="eastAsia" w:ascii="宋体" w:hAnsi="宋体"/>
          <w:color w:val="000000"/>
          <w:sz w:val="24"/>
          <w:szCs w:val="28"/>
          <w:u w:val="none"/>
        </w:rPr>
        <w:t xml:space="preserve">1名</w:t>
      </w:r>
      <w:bookmarkEnd w:id="71"/>
      <w:r>
        <w:rPr>
          <w:rFonts w:ascii="宋体" w:hAnsi="宋体"/>
          <w:color w:val="000000"/>
          <w:sz w:val="24"/>
          <w:szCs w:val="28"/>
          <w:u w:val="none"/>
        </w:rPr>
        <w:t xml:space="preserve"> </w:t>
      </w:r>
      <w:bookmarkStart w:id="72" w:name="EB65f1af548e51428190f46d10e71d9afc"/>
      <w:r/>
      <w:bookmarkEnd w:id="72"/>
      <w:r/>
      <w:r/>
    </w:p>
    <w:p>
      <w:pPr>
        <w:pStyle w:val="1036"/>
        <w:ind w:firstLine="446"/>
        <w:keepLines w:val="0"/>
        <w:keepNext w:val="0"/>
        <w:spacing w:line="360" w:lineRule="auto"/>
        <w:rPr>
          <w:rFonts w:ascii="宋体" w:hAnsi="宋体"/>
          <w:color w:val="000000"/>
          <w:sz w:val="30"/>
          <w:u w:val="none"/>
          <w:lang w:eastAsia="zh-CN"/>
        </w:rPr>
      </w:pPr>
      <w:r/>
      <w:bookmarkStart w:id="73" w:name="_Toc73365471"/>
      <w:r/>
      <w:bookmarkStart w:id="74" w:name="_Toc73364858"/>
      <w:r/>
      <w:bookmarkStart w:id="75" w:name="_Toc256000015"/>
      <w:r>
        <w:rPr>
          <w:rFonts w:hint="eastAsia" w:ascii="宋体" w:hAnsi="宋体"/>
          <w:color w:val="000000"/>
          <w:sz w:val="30"/>
          <w:u w:val="none"/>
          <w:lang w:eastAsia="zh-CN"/>
        </w:rPr>
        <w:t xml:space="preserve">4．磋商费用</w:t>
      </w:r>
      <w:bookmarkEnd w:id="73"/>
      <w:r/>
      <w:bookmarkEnd w:id="74"/>
      <w:r/>
      <w:bookmarkEnd w:id="75"/>
      <w:r/>
      <w:r/>
    </w:p>
    <w:p>
      <w:pPr>
        <w:ind w:firstLine="480"/>
        <w:spacing w:line="360" w:lineRule="auto"/>
        <w:rPr>
          <w:rFonts w:ascii="宋体" w:hAnsi="宋体"/>
          <w:b/>
          <w:color w:val="000000"/>
          <w:sz w:val="24"/>
          <w:u w:val="none"/>
        </w:rPr>
      </w:pPr>
      <w:r>
        <w:rPr>
          <w:rFonts w:hint="eastAsia" w:ascii="宋体" w:hAnsi="宋体"/>
          <w:color w:val="000000"/>
          <w:sz w:val="24"/>
          <w:u w:val="none"/>
        </w:rPr>
        <w:t xml:space="preserve">4.1 供应商应自行承担所有与参加磋商有关的费用</w:t>
      </w:r>
      <w:r>
        <w:rPr>
          <w:rFonts w:hint="eastAsia" w:ascii="宋体" w:hAnsi="宋体"/>
          <w:b/>
          <w:color w:val="000000"/>
          <w:sz w:val="24"/>
          <w:u w:val="none"/>
        </w:rPr>
        <w:t xml:space="preserve">。</w:t>
      </w:r>
      <w:r/>
    </w:p>
    <w:p>
      <w:pPr>
        <w:ind w:firstLine="1080"/>
        <w:spacing w:line="360" w:lineRule="auto"/>
        <w:rPr>
          <w:rFonts w:ascii="宋体" w:hAnsi="宋体"/>
          <w:color w:val="000000" w:themeColor="text1"/>
          <w:sz w:val="24"/>
          <w:szCs w:val="22"/>
          <w:highlight w:val="white"/>
          <w:u w:val="none"/>
        </w:rPr>
      </w:pPr>
      <w:r>
        <w:rPr>
          <w:rFonts w:ascii="Wingdings" w:hAnsi="Wingdings" w:eastAsia="Wingdings" w:cs="Wingdings"/>
          <w:color w:val="000000" w:themeColor="text1"/>
          <w:sz w:val="24"/>
          <w:u w:val="none"/>
        </w:rPr>
        <w:t xml:space="preserve"></w:t>
      </w:r>
      <w:r>
        <w:rPr>
          <w:rFonts w:hint="eastAsia" w:ascii="宋体" w:hAnsi="宋体"/>
          <w:color w:val="000000" w:themeColor="text1"/>
          <w:sz w:val="24"/>
          <w:highlight w:val="white"/>
          <w:u w:val="none"/>
        </w:rPr>
        <w:t xml:space="preserve">成交供应商在领取成交通知书前须向招标组织方支付采购代理服务费，收费标准根据《招标代理服务收费管理暂行办法》(计价格(2002)1980号)规定的70%核定，再乘以中标折扣率 90%。</w:t>
      </w:r>
      <w:r/>
    </w:p>
    <w:p>
      <w:pPr>
        <w:ind w:firstLine="1080"/>
        <w:spacing w:line="360" w:lineRule="auto"/>
        <w:rPr>
          <w:rFonts w:ascii="宋体" w:hAnsi="宋体"/>
          <w:color w:val="000000" w:themeColor="text1"/>
          <w:sz w:val="24"/>
          <w:szCs w:val="22"/>
          <w:u w:val="none"/>
        </w:rPr>
      </w:pPr>
      <w:r>
        <w:rPr>
          <w:rFonts w:hint="eastAsia" w:ascii="宋体" w:hAnsi="宋体"/>
          <w:color w:val="000000" w:themeColor="text1"/>
          <w:sz w:val="24"/>
          <w:szCs w:val="22"/>
          <w:highlight w:val="white"/>
          <w:u w:val="none"/>
        </w:rPr>
        <w:t xml:space="preserve">招标代理费用收款信息：</w:t>
      </w:r>
      <w:r/>
    </w:p>
    <w:p>
      <w:pPr>
        <w:ind w:firstLine="480"/>
        <w:spacing w:line="360" w:lineRule="auto"/>
        <w:rPr>
          <w:rFonts w:ascii="宋体" w:hAnsi="宋体"/>
          <w:color w:val="000000" w:themeColor="text1"/>
          <w:sz w:val="24"/>
          <w:highlight w:val="white"/>
          <w:u w:val="none"/>
        </w:rPr>
      </w:pPr>
      <w:r>
        <w:rPr>
          <w:rFonts w:hint="eastAsia" w:ascii="宋体" w:hAnsi="宋体"/>
          <w:color w:val="000000" w:themeColor="text1"/>
          <w:sz w:val="24"/>
          <w:highlight w:val="white"/>
          <w:u w:val="none"/>
        </w:rPr>
        <w:t xml:space="preserve">收款单位：江苏镇江千寻工程咨询有限公司</w:t>
      </w:r>
      <w:r/>
    </w:p>
    <w:p>
      <w:pPr>
        <w:ind w:firstLine="480"/>
        <w:spacing w:line="360" w:lineRule="auto"/>
        <w:rPr>
          <w:rFonts w:ascii="宋体" w:hAnsi="宋体"/>
          <w:color w:val="000000" w:themeColor="text1"/>
          <w:sz w:val="24"/>
          <w:highlight w:val="white"/>
          <w:u w:val="none"/>
        </w:rPr>
      </w:pPr>
      <w:r>
        <w:rPr>
          <w:rFonts w:hint="eastAsia" w:ascii="宋体" w:hAnsi="宋体"/>
          <w:color w:val="000000" w:themeColor="text1"/>
          <w:sz w:val="24"/>
          <w:highlight w:val="white"/>
          <w:u w:val="none"/>
        </w:rPr>
        <w:t xml:space="preserve">开 户 行：中国农业银行股份有限公司句容开发区支行</w:t>
      </w:r>
      <w:r/>
    </w:p>
    <w:p>
      <w:pPr>
        <w:ind w:firstLine="480"/>
        <w:spacing w:line="360" w:lineRule="auto"/>
        <w:rPr>
          <w:rFonts w:ascii="宋体" w:hAnsi="宋体"/>
          <w:color w:val="000000" w:themeColor="text1"/>
          <w:sz w:val="24"/>
          <w:highlight w:val="white"/>
          <w:u w:val="none"/>
        </w:rPr>
      </w:pPr>
      <w:r>
        <w:rPr>
          <w:rFonts w:hint="eastAsia" w:ascii="宋体" w:hAnsi="宋体"/>
          <w:color w:val="000000" w:themeColor="text1"/>
          <w:sz w:val="24"/>
          <w:highlight w:val="white"/>
          <w:u w:val="none"/>
        </w:rPr>
        <w:t xml:space="preserve">账    号：10329101040011223</w:t>
      </w:r>
      <w:r/>
    </w:p>
    <w:p>
      <w:pPr>
        <w:ind w:firstLine="480"/>
        <w:spacing w:line="360" w:lineRule="auto"/>
        <w:rPr>
          <w:rFonts w:ascii="宋体" w:hAnsi="宋体"/>
          <w:color w:val="000000" w:themeColor="text1"/>
          <w:sz w:val="24"/>
          <w:highlight w:val="white"/>
          <w:u w:val="none"/>
        </w:rPr>
      </w:pPr>
      <w:r>
        <w:rPr>
          <w:rFonts w:hint="eastAsia" w:ascii="宋体" w:hAnsi="宋体"/>
          <w:color w:val="000000" w:themeColor="text1"/>
          <w:sz w:val="24"/>
          <w:highlight w:val="white"/>
          <w:u w:val="none"/>
        </w:rPr>
        <w:t xml:space="preserve">4.2不论磋商的结果如何，磋商组织方在任何情况下均无义务和责任承担上述费用。</w:t>
      </w:r>
      <w:r/>
    </w:p>
    <w:p>
      <w:pPr>
        <w:pStyle w:val="1036"/>
        <w:ind w:firstLine="446"/>
        <w:keepLines w:val="0"/>
        <w:keepNext w:val="0"/>
        <w:spacing w:before="200" w:after="200" w:line="360" w:lineRule="auto"/>
        <w:rPr>
          <w:rFonts w:ascii="宋体" w:hAnsi="宋体"/>
          <w:color w:val="000000"/>
          <w:sz w:val="30"/>
          <w:u w:val="none"/>
          <w:lang w:eastAsia="zh-CN"/>
        </w:rPr>
      </w:pPr>
      <w:r/>
      <w:bookmarkStart w:id="76" w:name="_Toc73365472"/>
      <w:r/>
      <w:bookmarkStart w:id="77" w:name="_Toc256000016"/>
      <w:r/>
      <w:bookmarkStart w:id="78" w:name="_Toc73364859"/>
      <w:r>
        <w:rPr>
          <w:rFonts w:hint="eastAsia" w:ascii="宋体" w:hAnsi="宋体"/>
          <w:color w:val="000000"/>
          <w:sz w:val="30"/>
          <w:u w:val="none"/>
          <w:lang w:eastAsia="zh-CN"/>
        </w:rPr>
        <w:t xml:space="preserve">5．政策功能</w:t>
      </w:r>
      <w:bookmarkEnd w:id="76"/>
      <w:r/>
      <w:bookmarkEnd w:id="77"/>
      <w:r/>
      <w:bookmarkEnd w:id="78"/>
      <w:r/>
      <w:r/>
    </w:p>
    <w:p>
      <w:pPr>
        <w:ind w:firstLine="480"/>
        <w:spacing w:line="360" w:lineRule="auto"/>
        <w:rPr>
          <w:rFonts w:ascii="宋体" w:hAnsi="宋体"/>
          <w:color w:val="000000"/>
          <w:sz w:val="24"/>
          <w:szCs w:val="24"/>
          <w:u w:val="none"/>
        </w:rPr>
      </w:pPr>
      <w:r/>
      <w:bookmarkStart w:id="79" w:name="EB39beb4a8f399413b834ec4cdb7b2bea0"/>
      <w:r>
        <w:rPr>
          <w:rFonts w:hint="eastAsia" w:ascii="宋体" w:hAnsi="宋体"/>
          <w:color w:val="000000"/>
          <w:sz w:val="24"/>
          <w:szCs w:val="24"/>
          <w:u w:val="none"/>
        </w:rPr>
        <w:t xml:space="preserve">5.1支持中小企业发展</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符合中小企业划分标准的个体工商户，在政府采购活动中视同中小企业。</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5.1.2.1在货物采购项目中，货物由中小企业制造，即货物由中小企业生产且使用该中小企业商号或者注册商标；</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5.1.2.2在工程采购项目中，工程由中小企业承建，即工程施工单位为中小企业；</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80" w:name="_Hlk132637972"/>
      <w:r>
        <w:rPr>
          <w:rFonts w:ascii="宋体" w:hAnsi="宋体"/>
          <w:color w:val="000000"/>
          <w:sz w:val="24"/>
          <w:szCs w:val="24"/>
          <w:u w:val="none"/>
        </w:rPr>
        <w:t xml:space="preserve">10%-20%</w:t>
      </w:r>
      <w:bookmarkEnd w:id="80"/>
      <w:r>
        <w:rPr>
          <w:rFonts w:ascii="宋体" w:hAnsi="宋体"/>
          <w:color w:val="000000"/>
          <w:sz w:val="24"/>
          <w:szCs w:val="24"/>
          <w:u w:val="none"/>
        </w:rPr>
        <w:t xml:space="preserve">的扣除，</w:t>
      </w:r>
      <w:bookmarkStart w:id="81" w:name="_Hlk132637893"/>
      <w:r>
        <w:rPr>
          <w:rFonts w:ascii="宋体" w:hAnsi="宋体"/>
          <w:color w:val="000000"/>
          <w:sz w:val="24"/>
          <w:szCs w:val="24"/>
          <w:u w:val="none"/>
        </w:rPr>
        <w:t xml:space="preserve">用扣除后的价格参与评审</w:t>
      </w:r>
      <w:bookmarkEnd w:id="81"/>
      <w:r>
        <w:rPr>
          <w:rFonts w:ascii="宋体" w:hAnsi="宋体"/>
          <w:color w:val="000000"/>
          <w:sz w:val="24"/>
          <w:szCs w:val="24"/>
          <w:u w:val="none"/>
        </w:rPr>
        <w:t xml:space="preserve">。接受大中型企业与小微企业组成联合体或者允许大中型企业向一家或者多家小微企业分包的</w:t>
      </w:r>
      <w:r>
        <w:rPr>
          <w:rFonts w:hint="eastAsia" w:ascii="宋体" w:hAnsi="宋体"/>
          <w:color w:val="000000"/>
          <w:sz w:val="24"/>
          <w:szCs w:val="24"/>
          <w:u w:val="none"/>
        </w:rPr>
        <w:t xml:space="preserve">政府</w:t>
      </w:r>
      <w:r>
        <w:rPr>
          <w:rFonts w:ascii="宋体" w:hAnsi="宋体"/>
          <w:color w:val="000000"/>
          <w:sz w:val="24"/>
          <w:szCs w:val="24"/>
          <w:u w:val="none"/>
        </w:rPr>
        <w:t xml:space="preserve">采购</w:t>
      </w:r>
      <w:r>
        <w:rPr>
          <w:rFonts w:hint="eastAsia" w:ascii="宋体" w:hAnsi="宋体"/>
          <w:color w:val="000000"/>
          <w:sz w:val="24"/>
          <w:szCs w:val="24"/>
          <w:u w:val="none"/>
        </w:rPr>
        <w:t xml:space="preserve">货物或服务</w:t>
      </w:r>
      <w:r>
        <w:rPr>
          <w:rFonts w:ascii="宋体" w:hAnsi="宋体"/>
          <w:color w:val="000000"/>
          <w:sz w:val="24"/>
          <w:szCs w:val="24"/>
          <w:u w:val="none"/>
        </w:rPr>
        <w:t xml:space="preserve">项目，对于联合协议或者分包意向协议</w:t>
      </w:r>
      <w:r>
        <w:rPr>
          <w:rFonts w:hint="eastAsia" w:ascii="宋体" w:hAnsi="宋体"/>
          <w:color w:val="000000"/>
          <w:sz w:val="24"/>
          <w:szCs w:val="24"/>
          <w:u w:val="none"/>
        </w:rPr>
        <w:t xml:space="preserve">约定小型、微型企业的协议合同金额占到合同总金额30%以上的，给予联合体</w:t>
      </w:r>
      <w:r>
        <w:rPr>
          <w:rFonts w:ascii="宋体" w:hAnsi="宋体"/>
          <w:color w:val="000000"/>
          <w:sz w:val="24"/>
          <w:szCs w:val="24"/>
          <w:u w:val="none"/>
        </w:rPr>
        <w:t xml:space="preserve">4</w:t>
      </w:r>
      <w:r>
        <w:rPr>
          <w:rFonts w:hint="eastAsia" w:ascii="宋体" w:hAnsi="宋体"/>
          <w:color w:val="000000"/>
          <w:sz w:val="24"/>
          <w:szCs w:val="24"/>
          <w:u w:val="none"/>
        </w:rPr>
        <w:t xml:space="preserve">%</w:t>
      </w:r>
      <w:r>
        <w:rPr>
          <w:rFonts w:ascii="宋体" w:hAnsi="宋体"/>
          <w:color w:val="000000"/>
          <w:sz w:val="24"/>
          <w:szCs w:val="24"/>
          <w:u w:val="none"/>
        </w:rPr>
        <w:t xml:space="preserve">-6%</w:t>
      </w:r>
      <w:r>
        <w:rPr>
          <w:rFonts w:hint="eastAsia" w:ascii="宋体" w:hAnsi="宋体"/>
          <w:color w:val="000000"/>
          <w:sz w:val="24"/>
          <w:szCs w:val="24"/>
          <w:u w:val="none"/>
        </w:rPr>
        <w:t xml:space="preserve">的价格扣除。联合体各方均为小型、微型企业的，联合体视同为小型、微型企业享受</w:t>
      </w:r>
      <w:r>
        <w:rPr>
          <w:rFonts w:ascii="宋体" w:hAnsi="宋体"/>
          <w:color w:val="000000"/>
          <w:sz w:val="24"/>
          <w:szCs w:val="24"/>
          <w:u w:val="none"/>
        </w:rPr>
        <w:t xml:space="preserve">10%-20%</w:t>
      </w:r>
      <w:r>
        <w:rPr>
          <w:rFonts w:hint="eastAsia" w:ascii="宋体" w:hAnsi="宋体"/>
          <w:color w:val="000000"/>
          <w:sz w:val="24"/>
          <w:szCs w:val="24"/>
          <w:u w:val="none"/>
        </w:rPr>
        <w:t xml:space="preserve">的价格扣除，</w:t>
      </w:r>
      <w:r>
        <w:rPr>
          <w:rFonts w:ascii="宋体" w:hAnsi="宋体"/>
          <w:color w:val="000000"/>
          <w:sz w:val="24"/>
          <w:szCs w:val="24"/>
          <w:u w:val="none"/>
        </w:rPr>
        <w:t xml:space="preserve">用扣除后的价格参与评审</w:t>
      </w:r>
      <w:r>
        <w:rPr>
          <w:rFonts w:hint="eastAsia" w:ascii="宋体" w:hAnsi="宋体"/>
          <w:color w:val="000000"/>
          <w:sz w:val="24"/>
          <w:szCs w:val="24"/>
          <w:u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5.2强制采购信息安全产品</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5.3支持绿色发展</w:t>
      </w:r>
      <w:r/>
    </w:p>
    <w:p>
      <w:pPr>
        <w:ind w:firstLine="480"/>
        <w:spacing w:line="360" w:lineRule="auto"/>
        <w:rPr>
          <w:rFonts w:ascii="宋体" w:hAnsi="宋体"/>
          <w:color w:val="000000"/>
          <w:sz w:val="24"/>
          <w:szCs w:val="24"/>
          <w:u w:val="none"/>
        </w:rPr>
      </w:pPr>
      <w:r>
        <w:rPr>
          <w:rFonts w:ascii="宋体" w:hAnsi="宋体"/>
          <w:color w:val="000000"/>
          <w:sz w:val="24"/>
          <w:szCs w:val="24"/>
          <w:u w:val="none"/>
        </w:rPr>
        <w:t xml:space="preserve">5.3.1</w:t>
      </w:r>
      <w:r>
        <w:rPr>
          <w:rFonts w:hint="eastAsia" w:ascii="宋体" w:hAnsi="宋体"/>
          <w:color w:val="000000"/>
          <w:sz w:val="24"/>
          <w:szCs w:val="24"/>
          <w:u w: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w:t>
      </w:r>
      <w:r>
        <w:rPr>
          <w:rFonts w:ascii="宋体" w:hAnsi="宋体"/>
          <w:color w:val="000000"/>
          <w:sz w:val="24"/>
          <w:szCs w:val="24"/>
          <w:u w:val="none"/>
        </w:rPr>
        <w:t xml:space="preserve">3.2</w:t>
      </w:r>
      <w:r>
        <w:rPr>
          <w:rFonts w:hint="eastAsia" w:ascii="宋体" w:hAnsi="宋体"/>
          <w:color w:val="000000"/>
          <w:sz w:val="24"/>
          <w:szCs w:val="24"/>
          <w:u w:val="none"/>
        </w:rPr>
        <w:t xml:space="preserve">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5.4 根据国家扶持中小企业的有关政策，采购项目中标人在履约过程中如遇到资金困难，凭政府采购合同在相关金融机构办理授信申请，相关事宜请查阅“</w:t>
      </w:r>
      <w:r>
        <w:rPr>
          <w:rFonts w:ascii="宋体" w:hAnsi="宋体"/>
          <w:color w:val="000000"/>
          <w:sz w:val="24"/>
          <w:szCs w:val="24"/>
          <w:u w:val="none"/>
        </w:rPr>
        <w:t xml:space="preserve">江苏政府采购网</w:t>
      </w:r>
      <w:r>
        <w:rPr>
          <w:rFonts w:hint="eastAsia" w:ascii="宋体" w:hAnsi="宋体"/>
          <w:color w:val="000000"/>
          <w:sz w:val="24"/>
          <w:szCs w:val="24"/>
          <w:u w:val="none"/>
        </w:rPr>
        <w:t xml:space="preserve">---</w:t>
      </w:r>
      <w:r>
        <w:rPr>
          <w:rFonts w:ascii="宋体" w:hAnsi="宋体"/>
          <w:color w:val="000000"/>
          <w:sz w:val="24"/>
          <w:szCs w:val="24"/>
          <w:u w:val="none"/>
        </w:rPr>
        <w:t xml:space="preserve">政采贷</w:t>
      </w:r>
      <w:r>
        <w:rPr>
          <w:rFonts w:hint="eastAsia" w:ascii="宋体" w:hAnsi="宋体"/>
          <w:color w:val="000000"/>
          <w:sz w:val="24"/>
          <w:szCs w:val="24"/>
          <w:u w:val="none"/>
        </w:rPr>
        <w:t xml:space="preserve">”网站。</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5.5支持创新发展</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5.5.1采购人优先采购被认定为重点推广应用、首台（套）重大装备、重点领域首版次软件的自主创新产品。</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5.6平等对待内外资企业和符合条件的破产重整企业</w:t>
      </w:r>
      <w:r/>
    </w:p>
    <w:p>
      <w:pPr>
        <w:ind w:firstLine="480"/>
        <w:spacing w:line="360" w:lineRule="auto"/>
        <w:rPr>
          <w:rFonts w:ascii="宋体" w:hAnsi="宋体"/>
          <w:color w:val="000000"/>
          <w:sz w:val="24"/>
          <w:u w:val="none"/>
        </w:rPr>
      </w:pPr>
      <w:r>
        <w:rPr>
          <w:rFonts w:hint="eastAsia" w:ascii="宋体" w:hAnsi="宋体"/>
          <w:color w:val="000000"/>
          <w:sz w:val="24"/>
          <w:szCs w:val="24"/>
          <w:u w:val="none"/>
        </w:rPr>
        <w:t xml:space="preserve">5.6.1平等对待内外资企业和符合条件的破产重整企业，切实保障企业公平竞争，平等维护企业的合法利益。</w:t>
      </w:r>
      <w:r>
        <w:rPr>
          <w:rFonts w:hint="eastAsia" w:ascii="宋体" w:hAnsi="宋体"/>
          <w:color w:val="000000"/>
          <w:sz w:val="24"/>
          <w:u w:val="none"/>
        </w:rPr>
        <w:t xml:space="preserve"> </w:t>
      </w:r>
      <w:bookmarkEnd w:id="79"/>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5.7强化政府采购异常低价审查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5.7.1政府采购评审中出现下列情形之一的，评审委员会应当启动异常低价投标（响应）审查程序：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（3）投标（响应）报价低于采购项目最高限价45%的，即投标（响应）报价&lt;采购项目最高限价×45%；</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（4）评审委员会基于专业判断，认为供应商报价过低，有可能影响产品质量或者不能诚信履约的其他情形。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采购人可以结合具体项目实际情况，提高上述第1项至第3项中启动异常低价投标（响应）审查的数值标准，但是最高不得超过65%。。</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5.8实施本国产品标准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5.8.1本国产品是指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（1）在中国境内生产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产品应当在中国境内生产，即在中华人民共和国关境内实现从原材料、组件到产品的属性改变。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①为确保产品在运输或者储存期间保持某种状态而进行的操作；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②为产品运输或者销售进行的包装或者展示；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③在产品或者其包装上粘贴或者印刷品牌、标志、标识以及其他用于区别的标记；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④简单的上漆、磨光和分装；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⑤其他不属于属性改变的情形。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（2）在中国境内生产的组件成本占比达到规定比例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（3）特定产品的关键组件、关键工序符合相关要求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对特定产品，在符合第（1）项和第（2）项条件的基础上，应当符合财政部会同有关行业主管部门确定的其关键组件、关键工序在中国境内生产、完成等要求。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5.8.3.1产品在中国境内生产的组件成本核算规则。产品在中国境内生产的组件成本，按照《中国境内生产的组件成本核算基本规则》计算。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5.8.3.2有关证明文件。</w:t>
      </w:r>
      <w:r>
        <w:rPr>
          <w:rFonts w:ascii="宋体" w:hAnsi="宋体" w:eastAsia="宋体" w:cs="宋体"/>
          <w:color w:val="000000"/>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5.8.3.4中华人民共和国缔结或者共同参加的国际条约、协定对政府采购中本国产品政策另有规定的，按照有关条约、协定执行。</w:t>
      </w:r>
      <w:r/>
    </w:p>
    <w:p>
      <w:pPr>
        <w:ind w:firstLine="480"/>
        <w:spacing w:line="360" w:lineRule="auto"/>
        <w:rPr>
          <w:rFonts w:ascii="宋体" w:hAnsi="宋体"/>
          <w:color w:val="000000"/>
          <w:sz w:val="24"/>
          <w:szCs w:val="24"/>
          <w:u w:val="none"/>
        </w:rPr>
      </w:pPr>
      <w:r>
        <w:rPr>
          <w:rFonts w:hint="eastAsia" w:ascii="宋体" w:hAnsi="宋体"/>
          <w:sz w:val="24"/>
          <w:u w:val="none"/>
        </w:rPr>
        <w:t xml:space="preserve">。</w:t>
      </w:r>
      <w:r/>
    </w:p>
    <w:p>
      <w:pPr>
        <w:rPr>
          <w:rFonts w:ascii="宋体" w:hAnsi="宋体"/>
          <w:b/>
          <w:bCs/>
          <w:color w:val="000000"/>
          <w:sz w:val="32"/>
          <w:szCs w:val="32"/>
          <w:u w:val="none"/>
        </w:rPr>
      </w:pPr>
      <w:r/>
      <w:bookmarkStart w:id="82" w:name="_Toc73364860"/>
      <w:r/>
      <w:bookmarkStart w:id="83" w:name="_Toc256000017"/>
      <w:r/>
      <w:bookmarkStart w:id="84" w:name="_Toc73365473"/>
      <w:r>
        <w:rPr>
          <w:rFonts w:hint="eastAsia" w:ascii="宋体" w:hAnsi="宋体"/>
          <w:b/>
          <w:bCs/>
          <w:color w:val="000000"/>
          <w:sz w:val="32"/>
          <w:szCs w:val="32"/>
          <w:u w:val="none"/>
        </w:rPr>
        <w:br w:type="page" w:clear="all"/>
      </w:r>
      <w:r/>
    </w:p>
    <w:p>
      <w:pPr>
        <w:ind w:firstLine="480"/>
        <w:jc w:val="center"/>
        <w:spacing w:line="360" w:lineRule="auto"/>
        <w:rPr>
          <w:rFonts w:ascii="宋体" w:hAnsi="宋体"/>
          <w:b/>
          <w:bCs/>
          <w:color w:val="000000"/>
          <w:sz w:val="32"/>
          <w:szCs w:val="32"/>
          <w:u w:val="none"/>
        </w:rPr>
      </w:pPr>
      <w:r>
        <w:rPr>
          <w:rFonts w:hint="eastAsia" w:ascii="宋体" w:hAnsi="宋体"/>
          <w:b/>
          <w:bCs/>
          <w:color w:val="000000"/>
          <w:sz w:val="32"/>
          <w:szCs w:val="32"/>
          <w:u w:val="none"/>
        </w:rPr>
        <w:t xml:space="preserve">二、磋商文件</w:t>
      </w:r>
      <w:bookmarkEnd w:id="82"/>
      <w:r/>
      <w:bookmarkEnd w:id="83"/>
      <w:r/>
      <w:bookmarkEnd w:id="84"/>
      <w:r/>
      <w:r/>
    </w:p>
    <w:p>
      <w:pPr>
        <w:pStyle w:val="1036"/>
        <w:ind w:firstLine="446"/>
        <w:keepLines w:val="0"/>
        <w:keepNext w:val="0"/>
        <w:spacing w:before="200" w:after="200" w:line="360" w:lineRule="auto"/>
        <w:rPr>
          <w:rFonts w:ascii="宋体" w:hAnsi="宋体"/>
          <w:color w:val="000000"/>
          <w:sz w:val="30"/>
          <w:u w:val="none"/>
          <w:lang w:eastAsia="zh-CN"/>
        </w:rPr>
      </w:pPr>
      <w:r/>
      <w:bookmarkStart w:id="85" w:name="_Toc73364861"/>
      <w:r/>
      <w:bookmarkStart w:id="86" w:name="_Toc256000018"/>
      <w:r/>
      <w:bookmarkStart w:id="87" w:name="_Toc73365474"/>
      <w:r>
        <w:rPr>
          <w:rFonts w:hint="eastAsia" w:ascii="宋体" w:hAnsi="宋体"/>
          <w:color w:val="000000"/>
          <w:sz w:val="30"/>
          <w:u w:val="none"/>
          <w:lang w:eastAsia="zh-CN"/>
        </w:rPr>
        <w:t xml:space="preserve">6．磋商文件组成</w:t>
      </w:r>
      <w:bookmarkEnd w:id="85"/>
      <w:r/>
      <w:bookmarkEnd w:id="86"/>
      <w:r/>
      <w:bookmarkEnd w:id="87"/>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6.1磋商文件包括：</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（1）磋商邀请</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（2）供应商须知</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（3）合同</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（4）采购需求</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（5）评审办法和标准</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（6）磋商响应文件（格式）</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6.2供应商获取本文件后，应认真阅读本文件中所有的事项、格式条款和规范等要求。</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6.3</w:t>
      </w:r>
      <w:r>
        <w:rPr>
          <w:rFonts w:hint="eastAsia" w:ascii="宋体" w:hAnsi="宋体"/>
          <w:b/>
          <w:color w:val="000000"/>
          <w:sz w:val="24"/>
          <w:u w:val="none"/>
        </w:rPr>
        <w:t xml:space="preserve">除非有特殊要求，磋商文件不单独提供标的所在地自然环境、气象条件、公用设施等情况，供应商被视为熟悉上述与签订和履行合同有关的一切情况。</w:t>
      </w:r>
      <w:r/>
    </w:p>
    <w:p>
      <w:pPr>
        <w:pStyle w:val="1036"/>
        <w:ind w:firstLine="446"/>
        <w:keepLines w:val="0"/>
        <w:keepNext w:val="0"/>
        <w:spacing w:before="200" w:after="200" w:line="360" w:lineRule="auto"/>
        <w:rPr>
          <w:rFonts w:ascii="宋体" w:hAnsi="宋体"/>
          <w:color w:val="000000"/>
          <w:sz w:val="30"/>
          <w:u w:val="none"/>
          <w:lang w:eastAsia="zh-CN"/>
        </w:rPr>
      </w:pPr>
      <w:r/>
      <w:bookmarkStart w:id="88" w:name="_Toc73365475"/>
      <w:r/>
      <w:bookmarkStart w:id="89" w:name="_Toc256000019"/>
      <w:r/>
      <w:bookmarkStart w:id="90" w:name="_Toc73364862"/>
      <w:r>
        <w:rPr>
          <w:rFonts w:hint="eastAsia" w:ascii="宋体" w:hAnsi="宋体"/>
          <w:color w:val="000000"/>
          <w:sz w:val="30"/>
          <w:u w:val="none"/>
          <w:lang w:eastAsia="zh-CN"/>
        </w:rPr>
        <w:t xml:space="preserve">7．磋商文件的澄清和修改</w:t>
      </w:r>
      <w:bookmarkEnd w:id="88"/>
      <w:r/>
      <w:bookmarkEnd w:id="89"/>
      <w:r/>
      <w:bookmarkEnd w:id="90"/>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7.1任何要求对磋商文件进行澄清的供应商，应及时联系项目联系人。</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7.2 </w:t>
      </w:r>
      <w:r>
        <w:rPr>
          <w:rFonts w:hint="eastAsia" w:ascii="宋体" w:hAnsi="宋体"/>
          <w:b/>
          <w:color w:val="000000"/>
          <w:sz w:val="24"/>
          <w:u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7.3磋商组织方可以对已发出的磋商文件进行必要的澄清或者修改。澄清或者修改将在“江苏政府采购”网站上发布澄清公告。澄清或者修改的内容为磋商文件的组成部分。</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ascii="宋体" w:hAnsi="宋体"/>
          <w:b/>
          <w:color w:val="000000"/>
          <w:sz w:val="24"/>
          <w:u w:val="none"/>
        </w:rPr>
      </w:pPr>
      <w:r>
        <w:rPr>
          <w:rFonts w:hint="eastAsia" w:ascii="宋体" w:hAnsi="宋体"/>
          <w:b/>
          <w:color w:val="000000"/>
          <w:sz w:val="24"/>
          <w:u w:val="none"/>
        </w:rPr>
        <w:t xml:space="preserve">7.5如澄清或修改公告有重新发布电子磋商文件的，供应商应下载最新发布的电子磋商文件制作响应文件。</w:t>
      </w:r>
      <w:r>
        <w:rPr>
          <w:rFonts w:ascii="宋体" w:hAnsi="宋体"/>
          <w:b/>
          <w:color w:val="000000"/>
          <w:sz w:val="24"/>
          <w:u w:val="none"/>
        </w:rPr>
        <w:t xml:space="preserve">因供应商自身原因未能及时获取的</w:t>
      </w:r>
      <w:r>
        <w:rPr>
          <w:rFonts w:hint="eastAsia" w:ascii="宋体" w:hAnsi="宋体"/>
          <w:b/>
          <w:color w:val="000000"/>
          <w:sz w:val="24"/>
          <w:u w:val="none"/>
        </w:rPr>
        <w:t xml:space="preserve">，一切后果由供应商自行承担。</w:t>
      </w:r>
      <w:r/>
    </w:p>
    <w:p>
      <w:pPr>
        <w:rPr>
          <w:color w:val="000000"/>
          <w:u w:val="none"/>
        </w:rPr>
      </w:pPr>
      <w:r/>
      <w:bookmarkStart w:id="91" w:name="EB6b6863424e2e48afbb4b6eb8be474c89"/>
      <w:r>
        <w:rPr>
          <w:rFonts w:hint="eastAsia"/>
          <w:color w:val="000000"/>
          <w:sz w:val="20"/>
          <w:u w:val="none"/>
        </w:rPr>
        <w:t xml:space="preserve"> </w:t>
      </w:r>
      <w:bookmarkEnd w:id="91"/>
      <w:r/>
      <w:r/>
    </w:p>
    <w:p>
      <w:pPr>
        <w:rPr>
          <w:color w:val="000000"/>
          <w:u w:val="none"/>
        </w:rPr>
      </w:pPr>
      <w:r/>
      <w:bookmarkStart w:id="92" w:name="EB72d70437ecc14e52b97911dcb0eba452"/>
      <w:r>
        <w:rPr>
          <w:rFonts w:hint="eastAsia"/>
          <w:color w:val="000000"/>
          <w:sz w:val="20"/>
          <w:u w:val="none"/>
        </w:rPr>
        <w:t xml:space="preserve"> </w:t>
      </w:r>
      <w:bookmarkEnd w:id="92"/>
      <w:r/>
      <w:r/>
    </w:p>
    <w:p>
      <w:pPr>
        <w:pStyle w:val="1034"/>
        <w:rPr>
          <w:rFonts w:ascii="宋体" w:hAnsi="宋体" w:eastAsia="宋体"/>
          <w:color w:val="000000"/>
          <w:sz w:val="32"/>
          <w:u w:val="none"/>
          <w:lang w:eastAsia="zh-CN"/>
        </w:rPr>
      </w:pPr>
      <w:r/>
      <w:bookmarkStart w:id="93" w:name="_Toc256000020"/>
      <w:r/>
      <w:bookmarkStart w:id="94" w:name="_Toc73365476"/>
      <w:r/>
      <w:bookmarkStart w:id="95" w:name="_Toc73364863"/>
      <w:r>
        <w:rPr>
          <w:rFonts w:hint="eastAsia" w:ascii="宋体" w:hAnsi="宋体" w:eastAsia="宋体"/>
          <w:color w:val="000000"/>
          <w:sz w:val="32"/>
          <w:u w:val="none"/>
          <w:lang w:eastAsia="zh-CN"/>
        </w:rPr>
        <w:t xml:space="preserve">三、磋商响应文件</w:t>
      </w:r>
      <w:bookmarkEnd w:id="93"/>
      <w:r/>
      <w:bookmarkEnd w:id="94"/>
      <w:r/>
      <w:bookmarkEnd w:id="95"/>
      <w:r/>
      <w:r/>
    </w:p>
    <w:p>
      <w:pPr>
        <w:pStyle w:val="1036"/>
        <w:ind w:firstLine="446"/>
        <w:keepLines w:val="0"/>
        <w:keepNext w:val="0"/>
        <w:spacing w:before="200" w:after="200" w:line="360" w:lineRule="auto"/>
        <w:rPr>
          <w:rFonts w:ascii="宋体" w:hAnsi="宋体"/>
          <w:color w:val="000000"/>
          <w:sz w:val="30"/>
          <w:u w:val="none"/>
          <w:lang w:eastAsia="zh-CN"/>
        </w:rPr>
      </w:pPr>
      <w:r/>
      <w:bookmarkStart w:id="96" w:name="_Toc73364864"/>
      <w:r/>
      <w:bookmarkStart w:id="97" w:name="_Toc256000021"/>
      <w:r/>
      <w:bookmarkStart w:id="98" w:name="_Toc73365477"/>
      <w:r>
        <w:rPr>
          <w:rFonts w:hint="eastAsia" w:ascii="宋体" w:hAnsi="宋体"/>
          <w:color w:val="000000"/>
          <w:sz w:val="30"/>
          <w:u w:val="none"/>
          <w:lang w:eastAsia="zh-CN"/>
        </w:rPr>
        <w:t xml:space="preserve">8．编制响应文件的工具</w:t>
      </w:r>
      <w:bookmarkEnd w:id="96"/>
      <w:r/>
      <w:bookmarkEnd w:id="97"/>
      <w:r/>
      <w:bookmarkEnd w:id="98"/>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8.1供应商须通“苏采云”系统供应商操作手册要求的响应文件制作软件编制响应文件。</w:t>
      </w:r>
      <w:r/>
    </w:p>
    <w:p>
      <w:pPr>
        <w:pStyle w:val="1036"/>
        <w:ind w:firstLine="446"/>
        <w:keepLines w:val="0"/>
        <w:keepNext w:val="0"/>
        <w:spacing w:before="200" w:after="200" w:line="360" w:lineRule="auto"/>
        <w:rPr>
          <w:rFonts w:ascii="宋体" w:hAnsi="宋体"/>
          <w:color w:val="000000"/>
          <w:sz w:val="30"/>
          <w:u w:val="none"/>
          <w:lang w:eastAsia="zh-CN"/>
        </w:rPr>
      </w:pPr>
      <w:r/>
      <w:bookmarkStart w:id="99" w:name="_Toc73364865"/>
      <w:r/>
      <w:bookmarkStart w:id="100" w:name="_Toc256000022"/>
      <w:r/>
      <w:bookmarkStart w:id="101" w:name="_Toc73365478"/>
      <w:r>
        <w:rPr>
          <w:rFonts w:hint="eastAsia" w:ascii="宋体" w:hAnsi="宋体"/>
          <w:color w:val="000000"/>
          <w:sz w:val="30"/>
          <w:u w:val="none"/>
          <w:lang w:eastAsia="zh-CN"/>
        </w:rPr>
        <w:t xml:space="preserve">9．响应文件语言及度量衡单位</w:t>
      </w:r>
      <w:bookmarkEnd w:id="99"/>
      <w:r/>
      <w:bookmarkEnd w:id="100"/>
      <w:r/>
      <w:bookmarkEnd w:id="101"/>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9.2响应文件中所使用的计量单位除磋商文件中另有特殊规定外，一律使用法定计量单位。</w:t>
      </w:r>
      <w:r/>
    </w:p>
    <w:p>
      <w:pPr>
        <w:pStyle w:val="1036"/>
        <w:ind w:firstLine="446"/>
        <w:keepLines w:val="0"/>
        <w:keepNext w:val="0"/>
        <w:spacing w:before="200" w:after="200" w:line="360" w:lineRule="auto"/>
        <w:rPr>
          <w:rFonts w:ascii="宋体" w:hAnsi="宋体"/>
          <w:color w:val="000000"/>
          <w:sz w:val="30"/>
          <w:u w:val="none"/>
          <w:lang w:eastAsia="zh-CN"/>
        </w:rPr>
      </w:pPr>
      <w:r/>
      <w:bookmarkStart w:id="102" w:name="_Toc256000023"/>
      <w:r/>
      <w:bookmarkStart w:id="103" w:name="_Toc73365479"/>
      <w:r/>
      <w:bookmarkStart w:id="104" w:name="_Toc73364866"/>
      <w:r>
        <w:rPr>
          <w:rFonts w:hint="eastAsia" w:ascii="宋体" w:hAnsi="宋体"/>
          <w:color w:val="000000"/>
          <w:sz w:val="30"/>
          <w:u w:val="none"/>
          <w:lang w:eastAsia="zh-CN"/>
        </w:rPr>
        <w:t xml:space="preserve">10．响应文件的构成</w:t>
      </w:r>
      <w:bookmarkEnd w:id="102"/>
      <w:r/>
      <w:bookmarkEnd w:id="103"/>
      <w:r/>
      <w:bookmarkEnd w:id="104"/>
      <w:r/>
      <w:r/>
    </w:p>
    <w:p>
      <w:pPr>
        <w:pStyle w:val="1086"/>
        <w:ind w:firstLine="425"/>
        <w:spacing w:line="360" w:lineRule="auto"/>
        <w:widowControl/>
        <w:rPr>
          <w:rFonts w:ascii="宋体" w:hAnsi="宋体"/>
          <w:color w:val="000000"/>
          <w:sz w:val="24"/>
          <w:u w:val="none"/>
        </w:rPr>
      </w:pPr>
      <w:r>
        <w:rPr>
          <w:rFonts w:hint="eastAsia" w:ascii="宋体" w:hAnsi="宋体"/>
          <w:color w:val="000000"/>
          <w:sz w:val="24"/>
          <w:u w:val="none"/>
        </w:rPr>
        <w:t xml:space="preserve">10.1响应文件分为资格部分、商务部分和技术部分。</w:t>
      </w:r>
      <w:r/>
    </w:p>
    <w:p>
      <w:pPr>
        <w:pStyle w:val="1086"/>
        <w:ind w:firstLine="425"/>
        <w:spacing w:line="360" w:lineRule="auto"/>
        <w:widowControl/>
        <w:rPr>
          <w:rFonts w:ascii="宋体" w:hAnsi="宋体"/>
          <w:color w:val="000000"/>
          <w:sz w:val="24"/>
          <w:u w:val="none"/>
        </w:rPr>
      </w:pPr>
      <w:r>
        <w:rPr>
          <w:rFonts w:hint="eastAsia" w:ascii="宋体" w:hAnsi="宋体"/>
          <w:color w:val="000000"/>
          <w:sz w:val="24"/>
          <w:u w:val="none"/>
        </w:rPr>
        <w:t xml:space="preserve">10.2资格部分系指供应商提交的证明其有资格参加磋商的文件。</w:t>
      </w:r>
      <w:r/>
    </w:p>
    <w:p>
      <w:pPr>
        <w:pStyle w:val="1086"/>
        <w:ind w:firstLine="425"/>
        <w:spacing w:line="360" w:lineRule="auto"/>
        <w:widowControl/>
        <w:rPr>
          <w:rFonts w:ascii="宋体" w:hAnsi="宋体"/>
          <w:color w:val="000000"/>
          <w:sz w:val="24"/>
          <w:u w:val="none"/>
        </w:rPr>
      </w:pPr>
      <w:r>
        <w:rPr>
          <w:rFonts w:hint="eastAsia" w:ascii="宋体" w:hAnsi="宋体"/>
          <w:color w:val="000000"/>
          <w:sz w:val="24"/>
          <w:u w:val="none"/>
        </w:rPr>
        <w:t xml:space="preserve">10.3商务部分系指供应商提交的证明其成交后有能力履行合同的文件。</w:t>
      </w:r>
      <w:r/>
    </w:p>
    <w:p>
      <w:pPr>
        <w:pStyle w:val="1086"/>
        <w:ind w:firstLine="425"/>
        <w:spacing w:line="360" w:lineRule="auto"/>
        <w:widowControl/>
        <w:rPr>
          <w:rFonts w:ascii="宋体" w:hAnsi="宋体"/>
          <w:color w:val="000000"/>
          <w:sz w:val="24"/>
          <w:u w:val="none"/>
        </w:rPr>
      </w:pPr>
      <w:r>
        <w:rPr>
          <w:rFonts w:hint="eastAsia" w:ascii="宋体" w:hAnsi="宋体"/>
          <w:color w:val="000000"/>
          <w:sz w:val="24"/>
          <w:u w:val="none"/>
        </w:rPr>
        <w:t xml:space="preserve">10.4技术部分系指供应商提交的能够证明其提供的工程（货物或服务）符合磋商文件规定的文件。</w:t>
      </w:r>
      <w:r/>
    </w:p>
    <w:p>
      <w:pPr>
        <w:pStyle w:val="1086"/>
        <w:ind w:firstLine="425"/>
        <w:spacing w:line="360" w:lineRule="auto"/>
        <w:widowControl/>
        <w:rPr>
          <w:rFonts w:ascii="宋体" w:hAnsi="宋体"/>
          <w:color w:val="000000"/>
          <w:sz w:val="24"/>
          <w:u w:val="none"/>
        </w:rPr>
      </w:pPr>
      <w:r>
        <w:rPr>
          <w:rFonts w:hint="eastAsia" w:ascii="宋体" w:hAnsi="宋体"/>
          <w:color w:val="000000"/>
          <w:sz w:val="24"/>
          <w:u w:val="none"/>
        </w:rPr>
        <w:t xml:space="preserve">10.5具体填写格式详见磋商文件第六部分。</w:t>
      </w:r>
      <w:r/>
    </w:p>
    <w:p>
      <w:pPr>
        <w:pStyle w:val="1036"/>
        <w:ind w:firstLine="446"/>
        <w:keepLines w:val="0"/>
        <w:keepNext w:val="0"/>
        <w:spacing w:before="200" w:after="200" w:line="360" w:lineRule="auto"/>
        <w:rPr>
          <w:rFonts w:ascii="宋体" w:hAnsi="宋体"/>
          <w:color w:val="000000"/>
          <w:sz w:val="30"/>
          <w:u w:val="none"/>
          <w:lang w:eastAsia="zh-CN"/>
        </w:rPr>
      </w:pPr>
      <w:r/>
      <w:bookmarkStart w:id="105" w:name="_Toc73364867"/>
      <w:r/>
      <w:bookmarkStart w:id="106" w:name="_Toc73365480"/>
      <w:r/>
      <w:bookmarkStart w:id="107" w:name="_Toc256000024"/>
      <w:r>
        <w:rPr>
          <w:rFonts w:hint="eastAsia" w:ascii="宋体" w:hAnsi="宋体"/>
          <w:color w:val="000000"/>
          <w:sz w:val="30"/>
          <w:u w:val="none"/>
          <w:lang w:eastAsia="zh-CN"/>
        </w:rPr>
        <w:t xml:space="preserve">11．响应文件的编写</w:t>
      </w:r>
      <w:bookmarkEnd w:id="105"/>
      <w:r/>
      <w:bookmarkEnd w:id="106"/>
      <w:r/>
      <w:bookmarkEnd w:id="107"/>
      <w:r/>
      <w:r/>
    </w:p>
    <w:p>
      <w:pPr>
        <w:ind w:left="1" w:firstLine="480"/>
        <w:spacing w:line="360" w:lineRule="auto"/>
        <w:rPr>
          <w:rFonts w:ascii="宋体" w:hAnsi="宋体"/>
          <w:b/>
          <w:color w:val="000000"/>
          <w:sz w:val="24"/>
          <w:u w:val="none"/>
        </w:rPr>
      </w:pPr>
      <w:r>
        <w:rPr>
          <w:rFonts w:hint="eastAsia" w:ascii="宋体" w:hAnsi="宋体"/>
          <w:color w:val="000000"/>
          <w:sz w:val="24"/>
          <w:u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000000"/>
          <w:sz w:val="24"/>
          <w:u w:val="none"/>
        </w:rPr>
      </w:pPr>
      <w:r>
        <w:rPr>
          <w:rFonts w:hint="eastAsia" w:ascii="宋体" w:hAnsi="宋体"/>
          <w:color w:val="000000"/>
          <w:sz w:val="24"/>
          <w:u w:val="none"/>
        </w:rPr>
        <w:t xml:space="preserve">11.2</w:t>
      </w:r>
      <w:r>
        <w:rPr>
          <w:rFonts w:hint="eastAsia" w:ascii="宋体" w:hAnsi="宋体"/>
          <w:b/>
          <w:color w:val="000000"/>
          <w:sz w:val="24"/>
          <w:u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000000"/>
          <w:sz w:val="24"/>
          <w:u w:val="none"/>
        </w:rPr>
      </w:pPr>
      <w:r>
        <w:rPr>
          <w:rFonts w:hint="eastAsia" w:ascii="宋体" w:hAnsi="宋体"/>
          <w:color w:val="000000"/>
          <w:sz w:val="24"/>
          <w:u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000000"/>
          <w:sz w:val="24"/>
          <w:u w:val="none"/>
        </w:rPr>
      </w:pPr>
      <w:r>
        <w:rPr>
          <w:rFonts w:hint="eastAsia" w:ascii="宋体" w:hAnsi="宋体"/>
          <w:color w:val="000000"/>
          <w:sz w:val="24"/>
          <w:u w:val="none"/>
        </w:rPr>
        <w:t xml:space="preserve">11.4</w:t>
      </w:r>
      <w:r>
        <w:rPr>
          <w:rFonts w:hint="eastAsia" w:ascii="宋体" w:hAnsi="宋体"/>
          <w:b/>
          <w:color w:val="000000"/>
          <w:sz w:val="24"/>
          <w:u w:val="none"/>
        </w:rPr>
        <w:t xml:space="preserve">供应商必须保证响应文件所提供的全部资料合法、真实、可靠。</w:t>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08" w:name="_Toc73364868"/>
      <w:r/>
      <w:bookmarkStart w:id="109" w:name="_Toc256000025"/>
      <w:r/>
      <w:bookmarkStart w:id="110" w:name="_Toc73365481"/>
      <w:r>
        <w:rPr>
          <w:rFonts w:hint="eastAsia" w:ascii="宋体" w:hAnsi="宋体"/>
          <w:color w:val="000000"/>
          <w:sz w:val="30"/>
          <w:u w:val="none"/>
          <w:lang w:eastAsia="zh-CN"/>
        </w:rPr>
        <w:t xml:space="preserve">12．响应报价</w:t>
      </w:r>
      <w:bookmarkEnd w:id="108"/>
      <w:r/>
      <w:bookmarkEnd w:id="109"/>
      <w:r/>
      <w:bookmarkEnd w:id="110"/>
      <w:r>
        <w:rPr>
          <w:rFonts w:ascii="宋体" w:hAnsi="宋体"/>
          <w:color w:val="000000"/>
          <w:sz w:val="30"/>
          <w:u w:val="none"/>
          <w:lang w:eastAsia="zh-CN"/>
        </w:rPr>
        <w:tab/>
      </w:r>
      <w:r/>
    </w:p>
    <w:p>
      <w:pPr>
        <w:ind w:left="2" w:firstLine="480"/>
        <w:spacing w:line="360" w:lineRule="auto"/>
        <w:rPr>
          <w:rFonts w:ascii="宋体" w:hAnsi="宋体"/>
          <w:color w:val="000000"/>
          <w:sz w:val="24"/>
          <w:u w:val="none"/>
        </w:rPr>
      </w:pPr>
      <w:r/>
      <w:bookmarkStart w:id="111" w:name="EBdf1224c9869e4463a955117a0de4c3b6"/>
      <w:r>
        <w:rPr>
          <w:rFonts w:hint="eastAsia" w:ascii="宋体" w:hAnsi="宋体"/>
          <w:color w:val="000000"/>
          <w:sz w:val="24"/>
          <w:u w:val="none"/>
        </w:rPr>
        <w:t xml:space="preserve">12.1磋商应以人民币报价（保留至小数点后2位，四舍五入）。 </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12.2供应商应按磋商文件所提供的各报价表格式报价。 </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12.4 每种工程量只允许有一种报价，任何有选择报价将不予接受。供应商必须对磋商文件中所采购的所有工程量进行报价，只报其中部分工程量的磋商响应文件无效。 </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12.5 供应商不得将以下不可竞争费用降低标准计取： </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（1）财政、税收、物价等部门批准的税金和行政性规费； </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（2）磋商文件明确的有关费用比例； </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（3）磋商文件中已经明确固定价格的材料、采购人供应的材料及暂定暂估的费用。 </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12.7在磋商过程中未对磋商内容作出实质性变更、修改的情况下，如最后报价超过首轮报价，则最后报价无效，以其首轮报价作为最终报价。</w:t>
      </w:r>
      <w:r/>
    </w:p>
    <w:p>
      <w:pPr>
        <w:ind w:left="2" w:firstLine="480"/>
        <w:spacing w:line="360" w:lineRule="auto"/>
        <w:rPr>
          <w:rFonts w:ascii="宋体" w:hAnsi="宋体"/>
          <w:b/>
          <w:color w:val="000000"/>
          <w:sz w:val="24"/>
          <w:u w:val="none"/>
        </w:rPr>
      </w:pPr>
      <w:r>
        <w:rPr>
          <w:rFonts w:hint="eastAsia" w:ascii="宋体" w:hAnsi="宋体"/>
          <w:color w:val="000000"/>
          <w:sz w:val="24"/>
          <w:u w:val="none"/>
        </w:rPr>
        <w:t xml:space="preserve">12.8</w:t>
      </w:r>
      <w:r>
        <w:rPr>
          <w:rFonts w:hint="eastAsia" w:ascii="宋体" w:hAnsi="宋体"/>
          <w:b/>
          <w:color w:val="000000"/>
          <w:sz w:val="24"/>
          <w:u w:val="none"/>
        </w:rPr>
        <w:t xml:space="preserve">供应商在开标流程完成后供应商未在磋商小组规定的时间（自发起30分钟）内完成最后报价的视为放弃报价，自动退出此次磋商，其响应按无效响应处理，不参与后续的项目流程。最后报价须加盖电子签章。（开标流程结束后，供应商须继续关注开标大厅，若评审组长发起最后报价，开标大厅会显示“立即报价”界面。 若供应商在有效报价时间内未进行报价，则视为放弃报价。）</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12.9最低磋商报价不能作为成交的唯一保证。 </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12.10磋商最后报价即为合同签约价。</w:t>
      </w:r>
      <w:bookmarkEnd w:id="111"/>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12" w:name="_Toc73365482"/>
      <w:r/>
      <w:bookmarkStart w:id="113" w:name="_Toc256000026"/>
      <w:r/>
      <w:bookmarkStart w:id="114" w:name="_Toc73364869"/>
      <w:r>
        <w:rPr>
          <w:rFonts w:hint="eastAsia" w:ascii="宋体" w:hAnsi="宋体"/>
          <w:color w:val="000000"/>
          <w:sz w:val="30"/>
          <w:u w:val="none"/>
          <w:lang w:eastAsia="zh-CN"/>
        </w:rPr>
        <w:t xml:space="preserve">13．磋商保证金</w:t>
      </w:r>
      <w:bookmarkEnd w:id="112"/>
      <w:r/>
      <w:bookmarkEnd w:id="113"/>
      <w:r/>
      <w:bookmarkEnd w:id="114"/>
      <w:r/>
      <w:r/>
    </w:p>
    <w:p>
      <w:pPr>
        <w:ind w:firstLine="480"/>
        <w:spacing w:line="360" w:lineRule="auto"/>
        <w:rPr>
          <w:rFonts w:ascii="宋体" w:hAnsi="宋体"/>
          <w:color w:val="000000"/>
          <w:sz w:val="24"/>
          <w:u w:val="none"/>
        </w:rPr>
      </w:pPr>
      <w:r/>
      <w:bookmarkStart w:id="115" w:name="EBffce9a1083124a32b81da965a376b38b"/>
      <w:r>
        <w:rPr>
          <w:rFonts w:hint="eastAsia" w:ascii="宋体" w:hAnsi="宋体"/>
          <w:color w:val="000000"/>
          <w:sz w:val="24"/>
          <w:u w:val="none"/>
        </w:rPr>
        <w:t xml:space="preserve">13.1本项目不收磋商保证金。</w:t>
      </w:r>
      <w:bookmarkEnd w:id="115"/>
      <w:r>
        <w:rPr>
          <w:rFonts w:ascii="宋体" w:hAnsi="宋体"/>
          <w:color w:val="000000"/>
          <w:sz w:val="24"/>
          <w:u w:val="none"/>
        </w:rPr>
        <w:t xml:space="preserve"> </w:t>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16" w:name="_Toc73365483"/>
      <w:r/>
      <w:bookmarkStart w:id="117" w:name="_Toc256000027"/>
      <w:r/>
      <w:bookmarkStart w:id="118" w:name="_Toc73364870"/>
      <w:r>
        <w:rPr>
          <w:rFonts w:hint="eastAsia" w:ascii="宋体" w:hAnsi="宋体"/>
          <w:color w:val="000000"/>
          <w:sz w:val="30"/>
          <w:u w:val="none"/>
          <w:lang w:eastAsia="zh-CN"/>
        </w:rPr>
        <w:t xml:space="preserve">14．磋商响应有效期</w:t>
      </w:r>
      <w:bookmarkEnd w:id="116"/>
      <w:r/>
      <w:bookmarkEnd w:id="117"/>
      <w:r/>
      <w:bookmarkEnd w:id="118"/>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14.1磋商有效期为：磋商响应文件自磋商之日起</w:t>
      </w:r>
      <w:bookmarkStart w:id="119" w:name="EBe5331d116298431aa240d61d189e1ecb"/>
      <w:r>
        <w:rPr>
          <w:rFonts w:hint="eastAsia" w:ascii="宋体" w:hAnsi="宋体"/>
          <w:b/>
          <w:color w:val="000000"/>
          <w:sz w:val="24"/>
          <w:u w:val="none"/>
        </w:rPr>
        <w:t xml:space="preserve">90天</w:t>
      </w:r>
      <w:bookmarkEnd w:id="119"/>
      <w:r>
        <w:rPr>
          <w:rFonts w:hint="eastAsia" w:ascii="宋体" w:hAnsi="宋体"/>
          <w:color w:val="000000"/>
          <w:sz w:val="24"/>
          <w:u w:val="none"/>
        </w:rPr>
        <w:t xml:space="preserve">内有效。供应商一旦领取了本磋商文件并参加磋商，即被认为接受了磋商有效期的约定。</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20" w:name="_Toc73365484"/>
      <w:r/>
      <w:bookmarkStart w:id="121" w:name="_Toc73364871"/>
      <w:r/>
      <w:bookmarkStart w:id="122" w:name="_Toc256000028"/>
      <w:r>
        <w:rPr>
          <w:rFonts w:hint="eastAsia" w:ascii="宋体" w:hAnsi="宋体"/>
          <w:color w:val="000000"/>
          <w:sz w:val="30"/>
          <w:u w:val="none"/>
          <w:lang w:eastAsia="zh-CN"/>
        </w:rPr>
        <w:t xml:space="preserve">15. 响应文件的式样和签署</w:t>
      </w:r>
      <w:bookmarkEnd w:id="120"/>
      <w:r/>
      <w:bookmarkEnd w:id="121"/>
      <w:r/>
      <w:bookmarkEnd w:id="122"/>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15.1供应商应通过响应文件制作软件使用数字认证证书对响应文件进行合成、电子签章及加密打包。</w:t>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23" w:name="_Toc73365485"/>
      <w:r/>
      <w:bookmarkStart w:id="124" w:name="_Toc256000029"/>
      <w:r/>
      <w:bookmarkStart w:id="125" w:name="_Toc73364872"/>
      <w:r>
        <w:rPr>
          <w:rFonts w:hint="eastAsia" w:ascii="宋体" w:hAnsi="宋体"/>
          <w:color w:val="000000"/>
          <w:sz w:val="30"/>
          <w:u w:val="none"/>
          <w:lang w:eastAsia="zh-CN"/>
        </w:rPr>
        <w:t xml:space="preserve">16．响应文件的提交</w:t>
      </w:r>
      <w:bookmarkEnd w:id="123"/>
      <w:r/>
      <w:bookmarkEnd w:id="124"/>
      <w:r/>
      <w:bookmarkEnd w:id="125"/>
      <w:r/>
      <w:r/>
    </w:p>
    <w:p>
      <w:pPr>
        <w:ind w:left="1" w:firstLine="480"/>
        <w:spacing w:line="360" w:lineRule="auto"/>
        <w:rPr>
          <w:rFonts w:ascii="宋体" w:hAnsi="宋体"/>
          <w:color w:val="000000"/>
          <w:sz w:val="24"/>
          <w:u w:val="none"/>
        </w:rPr>
      </w:pPr>
      <w:r>
        <w:rPr>
          <w:rFonts w:hint="eastAsia" w:ascii="宋体" w:hAnsi="宋体"/>
          <w:color w:val="000000"/>
          <w:sz w:val="24"/>
          <w:u w:val="none"/>
        </w:rPr>
        <w:t xml:space="preserve">16.1响应文件提交</w:t>
      </w:r>
      <w:r/>
    </w:p>
    <w:p>
      <w:pPr>
        <w:ind w:left="1" w:firstLine="480"/>
        <w:spacing w:line="360" w:lineRule="auto"/>
        <w:rPr>
          <w:rFonts w:ascii="宋体" w:hAnsi="宋体"/>
          <w:b/>
          <w:color w:val="000000"/>
          <w:sz w:val="24"/>
          <w:u w:val="none"/>
        </w:rPr>
      </w:pPr>
      <w:r>
        <w:rPr>
          <w:rFonts w:hint="eastAsia" w:ascii="宋体" w:hAnsi="宋体"/>
          <w:color w:val="000000"/>
          <w:sz w:val="24"/>
          <w:u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000000"/>
          <w:sz w:val="24"/>
          <w:u w:val="none"/>
        </w:rPr>
        <w:t xml:space="preserve">时间以电子交易平台时间为准。</w:t>
      </w:r>
      <w:r/>
    </w:p>
    <w:p>
      <w:pPr>
        <w:ind w:left="1" w:firstLine="480"/>
        <w:spacing w:line="360" w:lineRule="auto"/>
        <w:rPr>
          <w:rFonts w:ascii="宋体" w:hAnsi="宋体"/>
          <w:b/>
          <w:color w:val="000000"/>
          <w:sz w:val="24"/>
          <w:u w:val="none"/>
        </w:rPr>
      </w:pPr>
      <w:r>
        <w:rPr>
          <w:rFonts w:hint="eastAsia" w:ascii="宋体" w:hAnsi="宋体"/>
          <w:color w:val="000000"/>
          <w:sz w:val="24"/>
          <w:u w:val="none"/>
        </w:rPr>
        <w:t xml:space="preserve">16.1.2</w:t>
      </w:r>
      <w:r>
        <w:rPr>
          <w:rFonts w:hint="eastAsia" w:ascii="宋体" w:hAnsi="宋体"/>
          <w:b/>
          <w:color w:val="000000"/>
          <w:sz w:val="24"/>
          <w:u w:val="non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000000"/>
          <w:sz w:val="24"/>
          <w:u w:val="none"/>
        </w:rPr>
      </w:pPr>
      <w:r>
        <w:rPr>
          <w:rFonts w:hint="eastAsia" w:ascii="宋体" w:hAnsi="宋体"/>
          <w:color w:val="000000"/>
          <w:sz w:val="24"/>
          <w:u w:val="none"/>
        </w:rPr>
        <w:t xml:space="preserve">16.1.3</w:t>
      </w:r>
      <w:r>
        <w:rPr>
          <w:rFonts w:hint="eastAsia" w:ascii="宋体" w:hAnsi="宋体"/>
          <w:b/>
          <w:color w:val="000000"/>
          <w:sz w:val="24"/>
          <w:u w:val="none"/>
        </w:rPr>
        <w:t xml:space="preserve">提交完成后至解密前，</w:t>
      </w:r>
      <w:r>
        <w:rPr>
          <w:rFonts w:hint="eastAsia" w:ascii="宋体" w:hAnsi="宋体"/>
          <w:b/>
          <w:color w:val="000000"/>
          <w:sz w:val="24"/>
          <w:szCs w:val="20"/>
          <w:u w:val="none"/>
        </w:rPr>
        <w:t xml:space="preserve">供应商</w:t>
      </w:r>
      <w:r>
        <w:rPr>
          <w:rFonts w:hint="eastAsia" w:ascii="宋体" w:hAnsi="宋体"/>
          <w:b/>
          <w:color w:val="000000"/>
          <w:sz w:val="24"/>
          <w:u w:val="non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000000"/>
          <w:sz w:val="24"/>
          <w:u w:val="none"/>
        </w:rPr>
      </w:pPr>
      <w:r>
        <w:rPr>
          <w:rFonts w:hint="eastAsia" w:ascii="宋体" w:hAnsi="宋体"/>
          <w:color w:val="000000"/>
          <w:sz w:val="24"/>
          <w:u w:val="none"/>
        </w:rPr>
        <w:t xml:space="preserve">16.1.4因不可抗力事件造成的响应文件的损坏、丢失的，磋商组织方不承担责任。</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16.2 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26" w:name="_Toc73364873"/>
      <w:r/>
      <w:bookmarkStart w:id="127" w:name="_Toc256000030"/>
      <w:r/>
      <w:bookmarkStart w:id="128" w:name="_Toc73365486"/>
      <w:r>
        <w:rPr>
          <w:rFonts w:hint="eastAsia" w:ascii="宋体" w:hAnsi="宋体"/>
          <w:color w:val="000000"/>
          <w:sz w:val="30"/>
          <w:u w:val="none"/>
          <w:lang w:eastAsia="zh-CN"/>
        </w:rPr>
        <w:t xml:space="preserve">17．响应文件的补充、修改或者撤回</w:t>
      </w:r>
      <w:bookmarkEnd w:id="126"/>
      <w:r/>
      <w:bookmarkEnd w:id="127"/>
      <w:r/>
      <w:bookmarkEnd w:id="128"/>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17.1</w:t>
      </w:r>
      <w:r>
        <w:rPr>
          <w:rFonts w:ascii="宋体" w:hAnsi="宋体"/>
          <w:color w:val="000000"/>
          <w:sz w:val="24"/>
          <w:u w:val="none"/>
        </w:rPr>
        <w:t xml:space="preserve">在提交截止时间前</w:t>
      </w:r>
      <w:r>
        <w:rPr>
          <w:rFonts w:hint="eastAsia" w:ascii="宋体" w:hAnsi="宋体"/>
          <w:color w:val="000000"/>
          <w:sz w:val="24"/>
          <w:u w:val="none"/>
        </w:rPr>
        <w:t xml:space="preserve">，</w:t>
      </w:r>
      <w:r>
        <w:rPr>
          <w:rFonts w:ascii="宋体" w:hAnsi="宋体"/>
          <w:color w:val="000000"/>
          <w:sz w:val="24"/>
          <w:u w:val="none"/>
        </w:rPr>
        <w:t xml:space="preserve">供应商可以对所</w:t>
      </w:r>
      <w:r>
        <w:rPr>
          <w:rFonts w:hint="eastAsia" w:ascii="宋体" w:hAnsi="宋体"/>
          <w:color w:val="000000"/>
          <w:sz w:val="24"/>
          <w:u w:val="none"/>
        </w:rPr>
        <w:t xml:space="preserve">提交</w:t>
      </w:r>
      <w:r>
        <w:rPr>
          <w:rFonts w:ascii="宋体" w:hAnsi="宋体"/>
          <w:color w:val="000000"/>
          <w:sz w:val="24"/>
          <w:u w:val="none"/>
        </w:rPr>
        <w:t xml:space="preserve">的电子响应文件进行撤回。</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17.2</w:t>
      </w:r>
      <w:r>
        <w:rPr>
          <w:rFonts w:ascii="宋体" w:hAnsi="宋体"/>
          <w:color w:val="000000"/>
          <w:sz w:val="24"/>
          <w:u w:val="none"/>
        </w:rPr>
        <w:t xml:space="preserve">在提交截止时间前，供应商可以对所</w:t>
      </w:r>
      <w:r>
        <w:rPr>
          <w:rFonts w:hint="eastAsia" w:ascii="宋体" w:hAnsi="宋体"/>
          <w:color w:val="000000"/>
          <w:sz w:val="24"/>
          <w:u w:val="none"/>
        </w:rPr>
        <w:t xml:space="preserve">提交</w:t>
      </w:r>
      <w:r>
        <w:rPr>
          <w:rFonts w:ascii="宋体" w:hAnsi="宋体"/>
          <w:color w:val="000000"/>
          <w:sz w:val="24"/>
          <w:u w:val="none"/>
        </w:rPr>
        <w:t xml:space="preserve">的纸质响应文件进行补充、修改或者撤回，并</w:t>
      </w:r>
      <w:r>
        <w:rPr>
          <w:rFonts w:hint="eastAsia" w:ascii="宋体" w:hAnsi="宋体"/>
          <w:color w:val="000000"/>
          <w:sz w:val="24"/>
          <w:u w:val="none"/>
        </w:rPr>
        <w:t xml:space="preserve">书面通知磋商组织方</w:t>
      </w:r>
      <w:r>
        <w:rPr>
          <w:rFonts w:ascii="宋体" w:hAnsi="宋体"/>
          <w:color w:val="000000"/>
          <w:sz w:val="24"/>
          <w:u w:val="none"/>
        </w:rPr>
        <w:t xml:space="preserve">。补充、修改的内容应当</w:t>
      </w:r>
      <w:r>
        <w:rPr>
          <w:rFonts w:hint="eastAsia" w:ascii="宋体" w:hAnsi="宋体"/>
          <w:color w:val="000000"/>
          <w:sz w:val="24"/>
          <w:u w:val="none"/>
        </w:rPr>
        <w:t xml:space="preserve">加盖公章</w:t>
      </w:r>
      <w:r>
        <w:rPr>
          <w:rFonts w:ascii="宋体" w:hAnsi="宋体"/>
          <w:color w:val="000000"/>
          <w:sz w:val="24"/>
          <w:u w:val="none"/>
        </w:rPr>
        <w:t xml:space="preserve">，</w:t>
      </w:r>
      <w:r>
        <w:rPr>
          <w:rFonts w:hint="eastAsia" w:ascii="宋体" w:hAnsi="宋体"/>
          <w:color w:val="000000"/>
          <w:sz w:val="24"/>
          <w:u w:val="none"/>
        </w:rPr>
        <w:t xml:space="preserve">并注明“</w:t>
      </w:r>
      <w:r>
        <w:rPr>
          <w:rFonts w:ascii="宋体" w:hAnsi="宋体"/>
          <w:color w:val="000000"/>
          <w:sz w:val="24"/>
          <w:u w:val="none"/>
        </w:rPr>
        <w:t xml:space="preserve">补充</w:t>
      </w:r>
      <w:r>
        <w:rPr>
          <w:rFonts w:hint="eastAsia" w:ascii="宋体" w:hAnsi="宋体"/>
          <w:color w:val="000000"/>
          <w:sz w:val="24"/>
          <w:u w:val="none"/>
        </w:rPr>
        <w:t xml:space="preserve">”、“修改”或“撤回”字样。</w:t>
      </w:r>
      <w:r>
        <w:rPr>
          <w:rFonts w:ascii="宋体" w:hAnsi="宋体"/>
          <w:color w:val="000000"/>
          <w:sz w:val="24"/>
          <w:u w:val="none"/>
        </w:rPr>
        <w:t xml:space="preserve">补充、修改的内容作为响应文件的组成部分</w:t>
      </w:r>
      <w:r>
        <w:rPr>
          <w:rFonts w:hint="eastAsia" w:ascii="宋体" w:hAnsi="宋体"/>
          <w:color w:val="000000"/>
          <w:sz w:val="24"/>
          <w:u w:val="none"/>
        </w:rPr>
        <w:t xml:space="preserve">。</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17.3在提交截止时间之后，供应商不得对其响应文件作任何修改或撤回。</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17.4在提交截止时间至磋商文件中规定的磋商有效期满之间，供应商不得撤回其响应。</w:t>
      </w:r>
      <w:r/>
    </w:p>
    <w:p>
      <w:pPr>
        <w:rPr>
          <w:color w:val="000000"/>
          <w:u w:val="none"/>
        </w:rPr>
      </w:pPr>
      <w:r/>
      <w:bookmarkStart w:id="129" w:name="EB7e4f79ed53944800a53d98770de9ecd4"/>
      <w:r>
        <w:rPr>
          <w:rFonts w:hint="eastAsia"/>
          <w:color w:val="000000"/>
          <w:sz w:val="20"/>
          <w:u w:val="none"/>
        </w:rPr>
        <w:t xml:space="preserve"> </w:t>
      </w:r>
      <w:bookmarkEnd w:id="129"/>
      <w:r/>
      <w:r/>
    </w:p>
    <w:p>
      <w:pPr>
        <w:pStyle w:val="1034"/>
        <w:rPr>
          <w:rFonts w:ascii="宋体" w:hAnsi="宋体" w:eastAsia="宋体"/>
          <w:color w:val="000000"/>
          <w:sz w:val="32"/>
          <w:u w:val="none"/>
          <w:lang w:eastAsia="zh-CN"/>
        </w:rPr>
      </w:pPr>
      <w:r/>
      <w:bookmarkStart w:id="130" w:name="_Toc73364874"/>
      <w:r/>
      <w:bookmarkStart w:id="131" w:name="_Toc73365487"/>
      <w:r/>
      <w:bookmarkStart w:id="132" w:name="_Toc256000031"/>
      <w:r>
        <w:rPr>
          <w:rFonts w:hint="eastAsia" w:ascii="宋体" w:hAnsi="宋体" w:eastAsia="宋体"/>
          <w:color w:val="000000"/>
          <w:sz w:val="32"/>
          <w:u w:val="none"/>
          <w:lang w:eastAsia="zh-CN"/>
        </w:rPr>
        <w:t xml:space="preserve">四、磋商与评审</w:t>
      </w:r>
      <w:bookmarkEnd w:id="130"/>
      <w:r/>
      <w:bookmarkEnd w:id="131"/>
      <w:r/>
      <w:bookmarkEnd w:id="132"/>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33" w:name="_Toc256000032"/>
      <w:r/>
      <w:bookmarkStart w:id="134" w:name="_Toc73364875"/>
      <w:r/>
      <w:bookmarkStart w:id="135" w:name="_Toc73365488"/>
      <w:r>
        <w:rPr>
          <w:rFonts w:hint="eastAsia" w:ascii="宋体" w:hAnsi="宋体"/>
          <w:color w:val="000000"/>
          <w:sz w:val="30"/>
          <w:u w:val="none"/>
          <w:lang w:eastAsia="zh-CN"/>
        </w:rPr>
        <w:t xml:space="preserve">18．磋商</w:t>
      </w:r>
      <w:bookmarkEnd w:id="133"/>
      <w:r/>
      <w:bookmarkEnd w:id="134"/>
      <w:r/>
      <w:bookmarkEnd w:id="135"/>
      <w:r/>
      <w:r/>
    </w:p>
    <w:p>
      <w:pPr>
        <w:ind w:left="1" w:firstLine="480"/>
        <w:spacing w:line="360" w:lineRule="auto"/>
        <w:rPr>
          <w:rFonts w:ascii="宋体" w:hAnsi="宋体"/>
          <w:color w:val="000000"/>
          <w:sz w:val="24"/>
          <w:u w:val="none"/>
        </w:rPr>
      </w:pPr>
      <w:r>
        <w:rPr>
          <w:rFonts w:hint="eastAsia" w:ascii="宋体" w:hAnsi="宋体"/>
          <w:color w:val="000000"/>
          <w:sz w:val="24"/>
          <w:u w:val="none"/>
        </w:rPr>
        <w:t xml:space="preserve">18.1供应商应当在磋商前做好充分准备，携带CA数字证书准时参加磋商。</w:t>
      </w:r>
      <w:r/>
    </w:p>
    <w:p>
      <w:pPr>
        <w:ind w:left="1" w:firstLine="480"/>
        <w:spacing w:line="360" w:lineRule="auto"/>
        <w:rPr>
          <w:rFonts w:ascii="宋体" w:hAnsi="宋体"/>
          <w:color w:val="000000"/>
          <w:sz w:val="24"/>
          <w:u w:val="none"/>
        </w:rPr>
      </w:pPr>
      <w:r>
        <w:rPr>
          <w:rFonts w:hint="eastAsia" w:ascii="宋体" w:hAnsi="宋体"/>
          <w:color w:val="000000"/>
          <w:sz w:val="24"/>
          <w:u w:val="none"/>
        </w:rPr>
        <w:t xml:space="preserve">18.2</w:t>
      </w:r>
      <w:r>
        <w:rPr>
          <w:rFonts w:hint="eastAsia" w:ascii="宋体" w:hAnsi="宋体"/>
          <w:b/>
          <w:color w:val="000000"/>
          <w:sz w:val="24"/>
          <w:u w:val="none"/>
        </w:rPr>
        <w:t xml:space="preserve">供应商不足3家，不进入解密程序。</w:t>
      </w:r>
      <w:r/>
    </w:p>
    <w:p>
      <w:pPr>
        <w:ind w:left="1" w:firstLine="480"/>
        <w:spacing w:line="360" w:lineRule="auto"/>
        <w:rPr>
          <w:rFonts w:ascii="宋体" w:hAnsi="宋体"/>
          <w:color w:val="000000"/>
          <w:sz w:val="24"/>
          <w:u w:val="none"/>
        </w:rPr>
      </w:pPr>
      <w:r>
        <w:rPr>
          <w:rFonts w:hint="eastAsia" w:ascii="宋体" w:hAnsi="宋体"/>
          <w:color w:val="000000"/>
          <w:sz w:val="24"/>
          <w:u w:val="none"/>
        </w:rPr>
        <w:t xml:space="preserve">18.3</w:t>
      </w:r>
      <w:r>
        <w:rPr>
          <w:rFonts w:hint="eastAsia" w:ascii="宋体" w:hAnsi="宋体"/>
          <w:b/>
          <w:color w:val="000000"/>
          <w:sz w:val="24"/>
          <w:u w:val="none"/>
        </w:rPr>
        <w:t xml:space="preserve">磋商时，磋商组织方将在系统内公布供应商名单，发出解密的指令，供应商自行实施解密，限定在主持人发布解密指令后</w:t>
      </w:r>
      <w:bookmarkStart w:id="136" w:name="EBaf33e81756a940b58c69ffadb3ca2432"/>
      <w:r>
        <w:rPr>
          <w:rFonts w:hint="eastAsia" w:ascii="宋体" w:hAnsi="宋体"/>
          <w:b/>
          <w:color w:val="000000"/>
          <w:sz w:val="24"/>
          <w:u w:val="none"/>
        </w:rPr>
        <w:t xml:space="preserve">30分钟</w:t>
      </w:r>
      <w:bookmarkEnd w:id="136"/>
      <w:r>
        <w:rPr>
          <w:rFonts w:hint="eastAsia" w:ascii="宋体" w:hAnsi="宋体"/>
          <w:b/>
          <w:color w:val="000000"/>
          <w:sz w:val="24"/>
          <w:u w:val="none"/>
        </w:rPr>
        <w:t xml:space="preserve">内完成。解密时，供应商必须使用与制作响应文件时同一数字认证证书对响应文件进行解密，否则解密将会失败。</w:t>
      </w:r>
      <w:r/>
    </w:p>
    <w:p>
      <w:pPr>
        <w:ind w:left="1" w:firstLine="480"/>
        <w:spacing w:line="360" w:lineRule="auto"/>
        <w:rPr>
          <w:rFonts w:ascii="宋体" w:hAnsi="宋体"/>
          <w:b/>
          <w:color w:val="000000"/>
          <w:sz w:val="24"/>
          <w:u w:val="none"/>
        </w:rPr>
      </w:pPr>
      <w:r>
        <w:rPr>
          <w:rFonts w:hint="eastAsia" w:ascii="宋体" w:hAnsi="宋体"/>
          <w:color w:val="000000"/>
          <w:sz w:val="24"/>
          <w:u w:val="none"/>
        </w:rPr>
        <w:t xml:space="preserve">18.4因供应商原因造成响应文件未解密或解密失败或无法正常打开响应文件的，磋商组织方将拒绝其响应。部分供应商的响应文件未解密或解密失败的，程序可以继续进行。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000000"/>
          <w:sz w:val="24"/>
          <w:u w:val="none"/>
        </w:rPr>
        <w:t xml:space="preserve">若解密成功的供应商不足三家，不进入后续程序。</w:t>
      </w:r>
      <w:r/>
    </w:p>
    <w:p>
      <w:pPr>
        <w:ind w:left="1" w:firstLine="480"/>
        <w:spacing w:line="360" w:lineRule="auto"/>
        <w:rPr>
          <w:rFonts w:ascii="宋体" w:hAnsi="宋体"/>
          <w:b/>
          <w:color w:val="000000"/>
          <w:sz w:val="24"/>
          <w:u w:val="none"/>
        </w:rPr>
      </w:pPr>
      <w:r>
        <w:rPr>
          <w:rFonts w:hint="eastAsia" w:ascii="宋体" w:hAnsi="宋体"/>
          <w:color w:val="000000"/>
          <w:sz w:val="24"/>
          <w:u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000000"/>
          <w:sz w:val="24"/>
          <w:u w:val="none"/>
        </w:rPr>
      </w:pPr>
      <w:r>
        <w:rPr>
          <w:rFonts w:hint="eastAsia" w:ascii="宋体" w:hAnsi="宋体"/>
          <w:color w:val="000000"/>
          <w:sz w:val="24"/>
          <w:u w:val="none"/>
        </w:rPr>
        <w:t xml:space="preserve">18.6供应商须配合磋商工作，否则自行承担后果。</w:t>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37" w:name="_Toc73365489"/>
      <w:r/>
      <w:bookmarkStart w:id="138" w:name="_Toc256000033"/>
      <w:r/>
      <w:bookmarkStart w:id="139" w:name="_Toc73364876"/>
      <w:r>
        <w:rPr>
          <w:rFonts w:hint="eastAsia" w:ascii="宋体" w:hAnsi="宋体"/>
          <w:color w:val="000000"/>
          <w:sz w:val="30"/>
          <w:u w:val="none"/>
          <w:lang w:eastAsia="zh-CN"/>
        </w:rPr>
        <w:t xml:space="preserve">19．磋商小组组成</w:t>
      </w:r>
      <w:bookmarkEnd w:id="137"/>
      <w:r/>
      <w:bookmarkEnd w:id="138"/>
      <w:r/>
      <w:bookmarkEnd w:id="139"/>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19.1磋商小组将由采购人代表和评审专家组成，成员人数为3人或3人以上单数。</w:t>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40" w:name="_Toc73365490"/>
      <w:r/>
      <w:bookmarkStart w:id="141" w:name="_Toc256000034"/>
      <w:r/>
      <w:bookmarkStart w:id="142" w:name="_Toc73364877"/>
      <w:r>
        <w:rPr>
          <w:rFonts w:hint="eastAsia" w:ascii="宋体" w:hAnsi="宋体"/>
          <w:color w:val="000000"/>
          <w:sz w:val="30"/>
          <w:u w:val="none"/>
          <w:lang w:eastAsia="zh-CN"/>
        </w:rPr>
        <w:t xml:space="preserve">20．无效磋商的情形</w:t>
      </w:r>
      <w:bookmarkEnd w:id="140"/>
      <w:r/>
      <w:bookmarkEnd w:id="141"/>
      <w:r/>
      <w:bookmarkEnd w:id="142"/>
      <w:r/>
      <w:r/>
    </w:p>
    <w:p>
      <w:pPr>
        <w:ind w:left="1" w:firstLine="480"/>
        <w:spacing w:line="360" w:lineRule="auto"/>
        <w:rPr>
          <w:rFonts w:ascii="宋体" w:hAnsi="宋体"/>
          <w:color w:val="000000"/>
          <w:sz w:val="24"/>
          <w:u w:val="none"/>
        </w:rPr>
      </w:pPr>
      <w:r>
        <w:rPr>
          <w:rFonts w:hint="eastAsia" w:ascii="宋体" w:hAnsi="宋体"/>
          <w:color w:val="000000"/>
          <w:sz w:val="24"/>
          <w:u w:val="none"/>
        </w:rPr>
        <w:t xml:space="preserve">供应商存在下列情况之一的，其磋商无效：</w:t>
      </w:r>
      <w:r/>
    </w:p>
    <w:p>
      <w:pPr>
        <w:ind w:firstLine="482"/>
        <w:spacing w:line="360" w:lineRule="auto"/>
        <w:rPr>
          <w:rFonts w:ascii="宋体" w:hAnsi="宋体"/>
          <w:b/>
          <w:color w:val="000000"/>
          <w:sz w:val="24"/>
          <w:u w:val="none"/>
        </w:rPr>
      </w:pPr>
      <w:r>
        <w:rPr>
          <w:rFonts w:hint="eastAsia" w:ascii="宋体" w:hAnsi="宋体"/>
          <w:b/>
          <w:color w:val="000000"/>
          <w:sz w:val="24"/>
          <w:u w:val="none"/>
        </w:rPr>
        <w:t xml:space="preserve">（1）响应文件未按磋商文件要求签署、盖章的；</w:t>
      </w:r>
      <w:r/>
    </w:p>
    <w:p>
      <w:pPr>
        <w:ind w:firstLine="482"/>
        <w:spacing w:line="360" w:lineRule="auto"/>
        <w:rPr>
          <w:rFonts w:ascii="宋体" w:hAnsi="宋体"/>
          <w:b/>
          <w:color w:val="000000"/>
          <w:sz w:val="24"/>
          <w:u w:val="none"/>
        </w:rPr>
      </w:pPr>
      <w:r>
        <w:rPr>
          <w:rFonts w:hint="eastAsia" w:ascii="宋体" w:hAnsi="宋体"/>
          <w:b/>
          <w:color w:val="000000"/>
          <w:sz w:val="24"/>
          <w:u w:val="none"/>
        </w:rPr>
        <w:t xml:space="preserve">（2）不具备磋商文件中规定的资格要求的；</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（4）供应商未在磋商小组规定的时间内完成最后报价的视为放弃报价，自动退出此次磋商，其响应按无效响应处理，不参与后续的项目流程。</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（5）响应文件含有采购人不能接受的附加条件的;</w:t>
      </w:r>
      <w:r/>
    </w:p>
    <w:p>
      <w:pPr>
        <w:ind w:firstLine="482"/>
        <w:spacing w:line="360" w:lineRule="auto"/>
        <w:rPr>
          <w:rFonts w:ascii="宋体" w:hAnsi="宋体"/>
          <w:b/>
          <w:color w:val="000000"/>
          <w:sz w:val="24"/>
          <w:u w:val="none"/>
        </w:rPr>
      </w:pPr>
      <w:r>
        <w:rPr>
          <w:rFonts w:hint="eastAsia" w:ascii="宋体" w:hAnsi="宋体"/>
          <w:b/>
          <w:color w:val="000000"/>
          <w:sz w:val="24"/>
          <w:u w:val="none"/>
        </w:rPr>
        <w:t xml:space="preserve">（6）不符合法律、法规和磋商文件规定的其它实质性条款（须经磋商小组半数以上同意）：</w:t>
      </w:r>
      <w:r/>
    </w:p>
    <w:p>
      <w:pPr>
        <w:ind w:left="1" w:firstLine="482"/>
        <w:spacing w:line="360" w:lineRule="auto"/>
        <w:rPr>
          <w:rFonts w:ascii="宋体" w:hAnsi="宋体"/>
          <w:b/>
          <w:color w:val="000000"/>
          <w:sz w:val="24"/>
          <w:u w:val="none"/>
        </w:rPr>
      </w:pPr>
      <w:r/>
      <w:bookmarkStart w:id="143" w:name="EB1a6133a9061749489c10f63f90f17fb6"/>
      <w:r>
        <w:rPr>
          <w:rFonts w:hint="eastAsia" w:ascii="宋体" w:hAnsi="宋体"/>
          <w:b/>
          <w:color w:val="000000"/>
          <w:sz w:val="24"/>
          <w:u w:val="none"/>
        </w:rPr>
        <w:t xml:space="preserve">（7）如有委托代理人，未提供供应商为其缴纳社保证明材料的； </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（8）供应商未通过符合性审查的； </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（9）单位负责人为同一人或者存在直接控股、管理关系的不同供应商参加同一合同项下的政府采购活动的； </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（10）评标委员会认为供应商的报价明显低于其他通过符合性审查供应商的报价，有可能影响工程（货物或服务）质量 或者不能诚信履约，且不能提供相关材料证明其报价合理性的； </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（11）供应商被“信用中国”网站（www.creditchina.gov.cn）、中国政府采购网（www.ccgp.gov.cn）列入失信被执行人、重大税收违法案件当事人名单、政府采购严重违法失信行为记录名单的；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（12）技术部分负偏离程度过大或过多，经评委会认定影响采购人实际使用的； </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（13）供应商存在串通磋商情形的； </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（14）供应商在报价时采用选择性报价的； </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（15）由于供应商原因，未在规定时间内对响应文件进行有效解密的； </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（16）响应文件中提供了虚假或失实资料的； </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（17）《中小企业声明函》填写不实的</w:t>
      </w:r>
      <w:bookmarkEnd w:id="143"/>
      <w:r>
        <w:rPr>
          <w:rFonts w:hint="eastAsia" w:ascii="宋体" w:hAnsi="宋体"/>
          <w:b/>
          <w:color w:val="000000"/>
          <w:sz w:val="24"/>
          <w:u w:val="none"/>
        </w:rPr>
        <w:t xml:space="preserve">。</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（18）供应商须按照清单的编制说明进行填写报价，否则视为无效响应。</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w:t>
      </w:r>
      <w:r>
        <w:rPr>
          <w:rFonts w:ascii="宋体" w:hAnsi="宋体"/>
          <w:b/>
          <w:color w:val="000000"/>
          <w:sz w:val="24"/>
          <w:u w:val="none"/>
        </w:rPr>
        <w:t xml:space="preserve">1</w:t>
      </w:r>
      <w:r>
        <w:rPr>
          <w:rFonts w:hint="eastAsia" w:ascii="宋体" w:hAnsi="宋体"/>
          <w:b/>
          <w:color w:val="000000"/>
          <w:sz w:val="24"/>
          <w:u w:val="none"/>
        </w:rPr>
        <w:t xml:space="preserve">9）法律、法规、规章（适用本市的）及省级以上规范性文件（适用本市的）规定的其他无效情形。</w:t>
      </w:r>
      <w:r/>
    </w:p>
    <w:p>
      <w:pPr>
        <w:pStyle w:val="856"/>
        <w:rPr>
          <w:color w:val="000000"/>
          <w:u w:val="none"/>
        </w:rPr>
      </w:pPr>
      <w:r>
        <w:rPr>
          <w:color w:val="000000"/>
          <w:u w:val="none"/>
        </w:rPr>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44" w:name="_Toc73365491"/>
      <w:r/>
      <w:bookmarkStart w:id="145" w:name="_Toc73364878"/>
      <w:r/>
      <w:bookmarkStart w:id="146" w:name="_Toc256000035"/>
      <w:r>
        <w:rPr>
          <w:rFonts w:hint="eastAsia" w:ascii="宋体" w:hAnsi="宋体"/>
          <w:color w:val="000000"/>
          <w:sz w:val="30"/>
          <w:u w:val="none"/>
          <w:lang w:eastAsia="zh-CN"/>
        </w:rPr>
        <w:t xml:space="preserve">21．串通磋商的情形</w:t>
      </w:r>
      <w:bookmarkEnd w:id="144"/>
      <w:r/>
      <w:bookmarkEnd w:id="145"/>
      <w:r/>
      <w:bookmarkEnd w:id="146"/>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有下列情形之一的，视为供应商串通磋商，磋商无效：</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（1）不同供应商的响应文件由同一单位或者个人编制；</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（2）不同供应商委托同一单位或者个人办理磋商事宜；</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（3）不同供应商的响应文件载明的项目管理成员或者联系人员为同一人；</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（4）不同供应商的响应文件异常一致或者磋商报价呈规律性差异；</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（5）不同供应商的响应文件相互混装。</w:t>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47" w:name="_Toc73365492"/>
      <w:r/>
      <w:bookmarkStart w:id="148" w:name="_Toc256000036"/>
      <w:r/>
      <w:bookmarkStart w:id="149" w:name="_Toc73364879"/>
      <w:r>
        <w:rPr>
          <w:rFonts w:hint="eastAsia" w:ascii="宋体" w:hAnsi="宋体"/>
          <w:color w:val="000000"/>
          <w:sz w:val="30"/>
          <w:u w:val="none"/>
          <w:lang w:eastAsia="zh-CN"/>
        </w:rPr>
        <w:t xml:space="preserve">22．响应文件的澄清</w:t>
      </w:r>
      <w:bookmarkEnd w:id="147"/>
      <w:r/>
      <w:bookmarkEnd w:id="148"/>
      <w:r/>
      <w:bookmarkEnd w:id="149"/>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22.1供应商应根据磋商小组要求对相关问题进行澄清、说明或者补正，并加盖公章。供应商的澄清、说明或者补正不得超出响应文件的范围或者改变响应文件的实质性内容。</w:t>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50" w:name="_Toc73364880"/>
      <w:r/>
      <w:bookmarkStart w:id="151" w:name="_Toc73365493"/>
      <w:r/>
      <w:bookmarkStart w:id="152" w:name="_Toc256000037"/>
      <w:r>
        <w:rPr>
          <w:rFonts w:hint="eastAsia" w:ascii="宋体" w:hAnsi="宋体"/>
          <w:color w:val="000000"/>
          <w:sz w:val="30"/>
          <w:u w:val="none"/>
          <w:lang w:eastAsia="zh-CN"/>
        </w:rPr>
        <w:t xml:space="preserve">23．磋商内容</w:t>
      </w:r>
      <w:bookmarkEnd w:id="150"/>
      <w:r/>
      <w:bookmarkEnd w:id="151"/>
      <w:r/>
      <w:bookmarkEnd w:id="152"/>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23.1磋商小组与符合条件的供应商就磋商文件中的技术、服务要求及合同草案条款等进行磋商。</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53" w:name="_Toc256000038"/>
      <w:r/>
      <w:bookmarkStart w:id="154" w:name="_Toc73365494"/>
      <w:r/>
      <w:bookmarkStart w:id="155" w:name="_Toc73364881"/>
      <w:r>
        <w:rPr>
          <w:rFonts w:hint="eastAsia" w:ascii="宋体" w:hAnsi="宋体"/>
          <w:color w:val="000000"/>
          <w:sz w:val="30"/>
          <w:u w:val="none"/>
          <w:lang w:eastAsia="zh-CN"/>
        </w:rPr>
        <w:t xml:space="preserve">24．最后报价的提交</w:t>
      </w:r>
      <w:bookmarkEnd w:id="153"/>
      <w:r/>
      <w:bookmarkEnd w:id="154"/>
      <w:r/>
      <w:bookmarkEnd w:id="155"/>
      <w:r/>
      <w:r/>
    </w:p>
    <w:p>
      <w:pPr>
        <w:ind w:left="1" w:firstLine="480"/>
        <w:spacing w:line="360" w:lineRule="auto"/>
        <w:rPr>
          <w:rFonts w:ascii="宋体" w:hAnsi="宋体"/>
          <w:color w:val="000000"/>
          <w:sz w:val="24"/>
          <w:u w:val="none"/>
        </w:rPr>
      </w:pPr>
      <w:r>
        <w:rPr>
          <w:rFonts w:hint="eastAsia" w:ascii="宋体" w:hAnsi="宋体"/>
          <w:color w:val="000000"/>
          <w:sz w:val="24"/>
          <w:u w:val="none"/>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left="1" w:firstLine="480"/>
        <w:spacing w:line="360" w:lineRule="auto"/>
        <w:rPr>
          <w:rFonts w:ascii="宋体" w:hAnsi="宋体"/>
          <w:color w:val="000000"/>
          <w:sz w:val="24"/>
          <w:u w:val="none"/>
        </w:rPr>
      </w:pPr>
      <w:r>
        <w:rPr>
          <w:rFonts w:hint="eastAsia" w:ascii="宋体" w:hAnsi="宋体"/>
          <w:color w:val="000000"/>
          <w:sz w:val="24"/>
          <w:u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ascii="宋体" w:hAnsi="宋体"/>
          <w:color w:val="000000"/>
          <w:sz w:val="24"/>
          <w:u w:val="none"/>
        </w:rPr>
      </w:pPr>
      <w:r>
        <w:rPr>
          <w:rFonts w:hint="eastAsia" w:ascii="宋体" w:hAnsi="宋体"/>
          <w:color w:val="000000"/>
          <w:sz w:val="24"/>
          <w:u w:val="none"/>
        </w:rPr>
        <w:t xml:space="preserve">最后报价是供应商响应文件的有效组成部分。符合《政府采购竞争性磋商采购方式管理暂行办法》第三条第四项及本须知第25.2项情形的，提交最后报价的供应商可以为2家。</w:t>
      </w:r>
      <w:r/>
    </w:p>
    <w:p>
      <w:pPr>
        <w:pStyle w:val="856"/>
        <w:rPr>
          <w:color w:val="000000"/>
          <w:u w:val="none"/>
        </w:rPr>
      </w:pPr>
      <w:r>
        <w:rPr>
          <w:color w:val="000000"/>
          <w:u w:val="none"/>
        </w:rPr>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56" w:name="_Toc256000039"/>
      <w:r/>
      <w:bookmarkStart w:id="157" w:name="_Toc73365495"/>
      <w:r/>
      <w:bookmarkStart w:id="158" w:name="_Toc73364882"/>
      <w:r>
        <w:rPr>
          <w:rFonts w:hint="eastAsia" w:ascii="宋体" w:hAnsi="宋体"/>
          <w:color w:val="000000"/>
          <w:sz w:val="30"/>
          <w:u w:val="none"/>
          <w:lang w:eastAsia="zh-CN"/>
        </w:rPr>
        <w:t xml:space="preserve">25．</w:t>
      </w:r>
      <w:r>
        <w:rPr>
          <w:rFonts w:ascii="宋体" w:hAnsi="宋体"/>
          <w:color w:val="000000"/>
          <w:sz w:val="30"/>
          <w:u w:val="none"/>
          <w:lang w:eastAsia="zh-CN"/>
        </w:rPr>
        <w:t xml:space="preserve">竞争性磋商</w:t>
      </w:r>
      <w:r>
        <w:rPr>
          <w:rFonts w:hint="eastAsia" w:ascii="宋体" w:hAnsi="宋体"/>
          <w:color w:val="000000"/>
          <w:sz w:val="30"/>
          <w:u w:val="none"/>
          <w:lang w:eastAsia="zh-CN"/>
        </w:rPr>
        <w:t xml:space="preserve">特殊情况处理</w:t>
      </w:r>
      <w:bookmarkEnd w:id="156"/>
      <w:r/>
      <w:bookmarkEnd w:id="157"/>
      <w:r/>
      <w:bookmarkEnd w:id="158"/>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25.1</w:t>
      </w:r>
      <w:r>
        <w:rPr>
          <w:rFonts w:ascii="宋体" w:hAnsi="宋体"/>
          <w:color w:val="000000"/>
          <w:sz w:val="24"/>
          <w:u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w:t>
      </w:r>
      <w:r>
        <w:rPr>
          <w:rFonts w:ascii="宋体" w:hAnsi="宋体"/>
          <w:color w:val="000000"/>
          <w:sz w:val="24"/>
          <w:u w:val="none"/>
        </w:rPr>
        <w:t xml:space="preserve">因情况变化，不再符合规定的竞争性磋商采购方式适用情形的；</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w:t>
      </w:r>
      <w:r>
        <w:rPr>
          <w:rFonts w:ascii="宋体" w:hAnsi="宋体"/>
          <w:color w:val="000000"/>
          <w:sz w:val="24"/>
          <w:u w:val="none"/>
        </w:rPr>
        <w:t xml:space="preserve">出现影响采购公正的违法、违规行为的</w:t>
      </w:r>
      <w:r>
        <w:rPr>
          <w:rFonts w:hint="eastAsia" w:ascii="宋体" w:hAnsi="宋体"/>
          <w:color w:val="000000"/>
          <w:sz w:val="24"/>
          <w:u w:val="none"/>
        </w:rPr>
        <w:t xml:space="preserve">；</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ascii="宋体" w:hAnsi="宋体"/>
          <w:b/>
          <w:color w:val="000000"/>
          <w:sz w:val="24"/>
          <w:u w:val="none"/>
        </w:rPr>
      </w:pPr>
      <w:r>
        <w:rPr>
          <w:rFonts w:hint="eastAsia" w:ascii="宋体" w:hAnsi="宋体"/>
          <w:b/>
          <w:color w:val="000000"/>
          <w:sz w:val="24"/>
          <w:u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25.3因重大变故，采购任务取消的则该磋商活动取消，采购人应当将取消理由通知所有供应商。</w:t>
      </w:r>
      <w:r/>
    </w:p>
    <w:p>
      <w:pPr>
        <w:pStyle w:val="1034"/>
        <w:rPr>
          <w:rFonts w:ascii="宋体" w:hAnsi="宋体" w:eastAsia="宋体"/>
          <w:color w:val="000000"/>
          <w:sz w:val="32"/>
          <w:u w:val="none"/>
          <w:lang w:eastAsia="zh-CN"/>
        </w:rPr>
      </w:pPr>
      <w:r/>
      <w:bookmarkStart w:id="159" w:name="_Toc256000040"/>
      <w:r/>
      <w:bookmarkStart w:id="160" w:name="_Toc73365496"/>
      <w:r/>
      <w:bookmarkStart w:id="161" w:name="_Toc73364883"/>
      <w:r>
        <w:rPr>
          <w:rFonts w:hint="eastAsia" w:ascii="宋体" w:hAnsi="宋体" w:eastAsia="宋体"/>
          <w:color w:val="000000"/>
          <w:sz w:val="32"/>
          <w:u w:val="none"/>
          <w:lang w:eastAsia="zh-CN"/>
        </w:rPr>
        <w:t xml:space="preserve">五、确定成交结果</w:t>
      </w:r>
      <w:bookmarkEnd w:id="159"/>
      <w:r/>
      <w:bookmarkEnd w:id="160"/>
      <w:r/>
      <w:bookmarkEnd w:id="161"/>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62" w:name="_Toc73364884"/>
      <w:r/>
      <w:bookmarkStart w:id="163" w:name="_Toc256000041"/>
      <w:r/>
      <w:bookmarkStart w:id="164" w:name="_Toc73365497"/>
      <w:r>
        <w:rPr>
          <w:rFonts w:hint="eastAsia" w:ascii="宋体" w:hAnsi="宋体"/>
          <w:color w:val="000000"/>
          <w:sz w:val="30"/>
          <w:u w:val="none"/>
          <w:lang w:eastAsia="zh-CN"/>
        </w:rPr>
        <w:t xml:space="preserve">26．确定成交供应商</w:t>
      </w:r>
      <w:bookmarkEnd w:id="162"/>
      <w:r/>
      <w:bookmarkEnd w:id="163"/>
      <w:r/>
      <w:bookmarkEnd w:id="164"/>
      <w:r/>
      <w:r/>
    </w:p>
    <w:p>
      <w:pPr>
        <w:ind w:firstLine="600"/>
        <w:spacing w:line="360" w:lineRule="auto"/>
        <w:rPr>
          <w:rFonts w:ascii="宋体" w:hAnsi="宋体"/>
          <w:color w:val="000000"/>
          <w:sz w:val="24"/>
          <w:u w:val="none"/>
        </w:rPr>
      </w:pPr>
      <w:r/>
      <w:bookmarkStart w:id="165" w:name="EB3fe0db93f0354614add263878fac6db4"/>
      <w:r>
        <w:rPr>
          <w:rFonts w:hint="eastAsia" w:ascii="宋体" w:hAnsi="宋体"/>
          <w:color w:val="000000"/>
          <w:sz w:val="24"/>
          <w:u w:val="none"/>
        </w:rPr>
        <w:t xml:space="preserve">26.1采购代理机构在评审结束后2个工作日内将评审报告送采购人。</w:t>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26.</w:t>
      </w:r>
      <w:bookmarkEnd w:id="165"/>
      <w:r>
        <w:rPr>
          <w:rFonts w:hint="eastAsia" w:ascii="宋体" w:hAnsi="宋体"/>
          <w:color w:val="000000"/>
          <w:sz w:val="24"/>
          <w:u w:val="none"/>
        </w:rPr>
        <w:t xml:space="preserve">2采购人自收到评审报告之日起5个工作日内，在评审报告确定的成交候选供应商名单中按顺序确定成交供应商。</w:t>
      </w:r>
      <w:r/>
    </w:p>
    <w:p>
      <w:pPr>
        <w:pStyle w:val="1034"/>
        <w:rPr>
          <w:rFonts w:ascii="宋体" w:hAnsi="宋体" w:eastAsia="宋体"/>
          <w:color w:val="000000"/>
          <w:sz w:val="32"/>
          <w:u w:val="none"/>
          <w:lang w:eastAsia="zh-CN"/>
        </w:rPr>
      </w:pPr>
      <w:r/>
      <w:bookmarkStart w:id="166" w:name="_Toc73364885"/>
      <w:r/>
      <w:bookmarkStart w:id="167" w:name="_Toc256000042"/>
      <w:r/>
      <w:bookmarkStart w:id="168" w:name="_Toc73365498"/>
      <w:r>
        <w:rPr>
          <w:rFonts w:hint="eastAsia" w:ascii="宋体" w:hAnsi="宋体" w:eastAsia="宋体"/>
          <w:color w:val="000000"/>
          <w:sz w:val="32"/>
          <w:u w:val="none"/>
          <w:lang w:eastAsia="zh-CN"/>
        </w:rPr>
        <w:t xml:space="preserve">六、授予合同</w:t>
      </w:r>
      <w:bookmarkEnd w:id="166"/>
      <w:r/>
      <w:bookmarkEnd w:id="167"/>
      <w:r/>
      <w:bookmarkEnd w:id="168"/>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69" w:name="_Toc73365499"/>
      <w:r/>
      <w:bookmarkStart w:id="170" w:name="_Toc73364886"/>
      <w:r/>
      <w:bookmarkStart w:id="171" w:name="_Toc256000043"/>
      <w:r>
        <w:rPr>
          <w:rFonts w:hint="eastAsia" w:ascii="宋体" w:hAnsi="宋体"/>
          <w:color w:val="000000"/>
          <w:sz w:val="30"/>
          <w:u w:val="none"/>
          <w:lang w:eastAsia="zh-CN"/>
        </w:rPr>
        <w:t xml:space="preserve">27．磋商组织方接受和拒绝任何或所有响应的权利</w:t>
      </w:r>
      <w:bookmarkEnd w:id="169"/>
      <w:r/>
      <w:bookmarkEnd w:id="170"/>
      <w:r/>
      <w:bookmarkEnd w:id="171"/>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27.1为维护国家和社会公共利益，磋商组织方保留在授标之前任何时候接受或拒绝任何供应商成交的权利，且对受影响的供应商不承担任何责任。</w:t>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27.2因不可抗力或成交供应商不能履约等情形，磋商组织方保留与其他候选供应商签订合同的权利。</w:t>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72" w:name="_Toc73365500"/>
      <w:r/>
      <w:bookmarkStart w:id="173" w:name="_Toc73364887"/>
      <w:r/>
      <w:bookmarkStart w:id="174" w:name="_Toc256000044"/>
      <w:r>
        <w:rPr>
          <w:rFonts w:hint="eastAsia" w:ascii="宋体" w:hAnsi="宋体"/>
          <w:color w:val="000000"/>
          <w:sz w:val="30"/>
          <w:u w:val="none"/>
          <w:lang w:eastAsia="zh-CN"/>
        </w:rPr>
        <w:t xml:space="preserve">28．成交通知书</w:t>
      </w:r>
      <w:bookmarkEnd w:id="172"/>
      <w:r/>
      <w:bookmarkEnd w:id="173"/>
      <w:r/>
      <w:bookmarkEnd w:id="174"/>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28.1自成交供应商确定之日起2个工作日内，采购代理机构向成交供应商发出成交通知书，同时编制发布采购结果公告。</w:t>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28.2成交通知书发出后，采购人不得违法改变成交结果，成交供应商无正当理由不得放弃成交。</w:t>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75" w:name="_Toc73365501"/>
      <w:r/>
      <w:bookmarkStart w:id="176" w:name="_Toc73364888"/>
      <w:r/>
      <w:bookmarkStart w:id="177" w:name="_Toc256000045"/>
      <w:r>
        <w:rPr>
          <w:rFonts w:hint="eastAsia" w:ascii="宋体" w:hAnsi="宋体"/>
          <w:color w:val="000000"/>
          <w:sz w:val="30"/>
          <w:u w:val="none"/>
          <w:lang w:eastAsia="zh-CN"/>
        </w:rPr>
        <w:t xml:space="preserve">29．签订合同</w:t>
      </w:r>
      <w:bookmarkEnd w:id="175"/>
      <w:r/>
      <w:bookmarkEnd w:id="176"/>
      <w:r/>
      <w:bookmarkEnd w:id="177"/>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29.1采购人应当自成交通知书发出之日起</w:t>
      </w:r>
      <w:bookmarkStart w:id="178" w:name="EB51d9b032aa7249af80d45424dadc155d"/>
      <w:r>
        <w:rPr>
          <w:rFonts w:hint="eastAsia" w:ascii="宋体" w:hAnsi="宋体"/>
          <w:color w:val="000000"/>
          <w:sz w:val="24"/>
          <w:szCs w:val="24"/>
          <w:u w:val="none"/>
        </w:rPr>
        <w:t xml:space="preserve">15</w:t>
      </w:r>
      <w:r>
        <w:rPr>
          <w:rFonts w:hint="eastAsia" w:ascii="宋体" w:hAnsi="宋体"/>
          <w:color w:val="000000"/>
          <w:sz w:val="24"/>
          <w:u w:val="none"/>
        </w:rPr>
        <w:t xml:space="preserve">日</w:t>
      </w:r>
      <w:bookmarkEnd w:id="178"/>
      <w:r>
        <w:rPr>
          <w:rFonts w:hint="eastAsia" w:ascii="宋体" w:hAnsi="宋体"/>
          <w:color w:val="000000"/>
          <w:sz w:val="24"/>
          <w:u w:val="none"/>
        </w:rPr>
        <w:t xml:space="preserve">内，按照磋商文件、成交供应商磋商响应文件以及磋商过程中确定的事项，与成交供应商签订政府采购合同。采购人不得向成交供应商提出任何不合理的要求作为签订合同的条件。磋商文件、成交供应商的响应文件、澄清文件、成交通知书，均为签订合同的依据。</w:t>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29.2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29.3政府采购合同应当包括采购人与成交人的名称和住所、标的、数量、质量、价款或者报酬、履行期限及地点和方式、验收要求、违约责任、解决争议的方法等内容。</w:t>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29.4采购人应当自采购合同签订之日起2个工作日内，将政府采购合同在政府采购指定媒体予以公告。</w:t>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29.5合同履行中，采购人需追加与合同标的相同的服务时，在不改变合同其他条款的前提下，可以与成交人协商签订补充合同，但所有补充合同的采购金额不得超过原合同采购金额的百分之十。</w:t>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29.6采购人若由于各种客观原因，必须对采购项目所牵涉的货物和服务进行适当的减少时，在双方协商一致的前提下，可以按照磋商采购时的价格水平做相应的调减，并据此签订补充合同。</w:t>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29.7采购人与成交供应商应当根据合同的约定依法履行合同义务。政府采购合同的履行、违约责任和解决争议的方法等适用</w:t>
      </w:r>
      <w:bookmarkStart w:id="179" w:name="EB756a2e5eaf4942b0afe0c5074e4df86a"/>
      <w:r>
        <w:rPr>
          <w:rFonts w:hint="eastAsia" w:ascii="宋体" w:hAnsi="宋体"/>
          <w:color w:val="000000"/>
          <w:sz w:val="24"/>
          <w:szCs w:val="24"/>
          <w:u w:val="none"/>
        </w:rPr>
        <w:t xml:space="preserve">《中华人民共和国民法典》</w:t>
      </w:r>
      <w:bookmarkEnd w:id="179"/>
      <w:r>
        <w:rPr>
          <w:rFonts w:hint="eastAsia" w:ascii="宋体" w:hAnsi="宋体"/>
          <w:color w:val="000000"/>
          <w:sz w:val="24"/>
          <w:u w:val="none"/>
        </w:rPr>
        <w:t xml:space="preserve">。</w:t>
      </w:r>
      <w:bookmarkStart w:id="180" w:name="_Toc73365502"/>
      <w:r/>
      <w:bookmarkStart w:id="181" w:name="_Toc73364889"/>
      <w:r/>
      <w:bookmarkStart w:id="182" w:name="_Toc256000046"/>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rPr>
          <w:rFonts w:hint="eastAsia" w:ascii="宋体" w:hAnsi="宋体"/>
          <w:color w:val="000000"/>
          <w:sz w:val="30"/>
          <w:u w:val="none"/>
          <w:lang w:eastAsia="zh-CN"/>
        </w:rPr>
        <w:t xml:space="preserve">30．履约保证金</w:t>
      </w:r>
      <w:bookmarkEnd w:id="180"/>
      <w:r/>
      <w:bookmarkEnd w:id="181"/>
      <w:r/>
      <w:bookmarkEnd w:id="182"/>
      <w:r/>
      <w:r/>
    </w:p>
    <w:p>
      <w:pPr>
        <w:pStyle w:val="779"/>
        <w:ind w:firstLine="480"/>
        <w:spacing w:line="360" w:lineRule="auto"/>
        <w:rPr>
          <w:rFonts w:ascii="宋体" w:hAnsi="宋体"/>
          <w:color w:val="000000"/>
          <w:sz w:val="24"/>
          <w:u w:val="none"/>
        </w:rPr>
      </w:pPr>
      <w:r/>
      <w:bookmarkStart w:id="183" w:name="_Toc73364890"/>
      <w:r/>
      <w:bookmarkStart w:id="184" w:name="_Toc73365503"/>
      <w:r/>
      <w:bookmarkStart w:id="185" w:name="_Toc256000047"/>
      <w:r>
        <w:rPr>
          <w:rFonts w:hint="eastAsia" w:ascii="宋体" w:hAnsi="宋体"/>
          <w:color w:val="000000"/>
          <w:sz w:val="24"/>
          <w:u w:val="none"/>
        </w:rPr>
        <w:t xml:space="preserve">30.1</w:t>
      </w:r>
      <w:r>
        <w:rPr>
          <w:rFonts w:ascii="宋体" w:hAnsi="宋体"/>
          <w:color w:val="000000"/>
          <w:sz w:val="24"/>
          <w:u w:val="none"/>
        </w:rPr>
        <w:t xml:space="preserve">  </w:t>
      </w:r>
      <w:r>
        <w:rPr>
          <w:rFonts w:ascii="Wingdings" w:hAnsi="Wingdings" w:eastAsia="Wingdings" w:cs="Wingdings"/>
          <w:color w:val="000000"/>
          <w:sz w:val="24"/>
          <w:u w:val="none"/>
        </w:rPr>
        <w:t xml:space="preserve"></w:t>
      </w:r>
      <w:r>
        <w:rPr>
          <w:rFonts w:hint="eastAsia" w:ascii="宋体" w:hAnsi="宋体"/>
          <w:color w:val="000000"/>
          <w:sz w:val="24"/>
          <w:u w:val="none"/>
        </w:rPr>
        <w:t xml:space="preserve">本项目不收取履约保证金。</w:t>
      </w:r>
      <w:r/>
    </w:p>
    <w:p>
      <w:pPr>
        <w:pStyle w:val="779"/>
        <w:ind w:firstLine="1200"/>
        <w:spacing w:line="360" w:lineRule="auto"/>
        <w:rPr>
          <w:rFonts w:ascii="宋体" w:hAnsi="宋体"/>
          <w:color w:val="000000"/>
          <w:sz w:val="24"/>
          <w:u w:val="none"/>
        </w:rPr>
      </w:pPr>
      <w:r>
        <w:rPr>
          <w:rFonts w:ascii="Wingdings" w:hAnsi="Wingdings" w:eastAsia="Wingdings" w:cs="Wingdings"/>
          <w:color w:val="000000"/>
          <w:sz w:val="24"/>
          <w:u w:val="none"/>
        </w:rPr>
        <w:t xml:space="preserve"></w:t>
      </w:r>
      <w:r>
        <w:rPr>
          <w:rFonts w:hint="eastAsia" w:ascii="宋体" w:hAnsi="宋体"/>
          <w:color w:val="000000"/>
          <w:sz w:val="24"/>
          <w:u w:val="none"/>
        </w:rPr>
        <w:t xml:space="preserve">本项目中标供应商应提交政府采购合同金额 / %的履约保证金(不得</w:t>
      </w:r>
      <w:r>
        <w:rPr>
          <w:rFonts w:hint="eastAsia" w:ascii="宋体" w:hAnsi="宋体"/>
          <w:color w:val="000000"/>
          <w:sz w:val="24"/>
          <w:u w:val="none"/>
        </w:rPr>
        <w:t xml:space="preserve">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ind w:right="30" w:firstLine="440"/>
        <w:jc w:val="left"/>
        <w:spacing w:before="27" w:line="312" w:lineRule="auto"/>
        <w:widowControl/>
        <w:rPr>
          <w:rFonts w:ascii="宋体" w:hAnsi="宋体" w:cs="宋体"/>
          <w:color w:val="000000"/>
          <w:spacing w:val="-10"/>
          <w:sz w:val="24"/>
          <w:szCs w:val="24"/>
          <w:u w:val="none"/>
        </w:rPr>
      </w:pPr>
      <w:r>
        <w:rPr>
          <w:rFonts w:hint="eastAsia" w:ascii="宋体" w:hAnsi="宋体" w:cs="宋体"/>
          <w:color w:val="000000"/>
          <w:spacing w:val="-10"/>
          <w:sz w:val="24"/>
          <w:szCs w:val="24"/>
          <w:u w:val="none"/>
        </w:rPr>
        <w:t xml:space="preserve">30.2 履约保函</w:t>
      </w:r>
      <w:r/>
    </w:p>
    <w:p>
      <w:pPr>
        <w:ind w:right="30" w:firstLine="440"/>
        <w:jc w:val="left"/>
        <w:spacing w:before="27" w:line="312" w:lineRule="auto"/>
        <w:widowControl/>
        <w:rPr>
          <w:rFonts w:ascii="宋体" w:hAnsi="宋体" w:cs="宋体"/>
          <w:color w:val="000000"/>
          <w:spacing w:val="-10"/>
          <w:sz w:val="24"/>
          <w:szCs w:val="24"/>
          <w:u w:val="none"/>
        </w:rPr>
      </w:pPr>
      <w:r>
        <w:rPr>
          <w:rFonts w:hint="eastAsia" w:ascii="宋体" w:hAnsi="宋体" w:cs="宋体"/>
          <w:color w:val="000000"/>
          <w:spacing w:val="-10"/>
          <w:sz w:val="24"/>
          <w:szCs w:val="24"/>
          <w:u w:val="none"/>
        </w:rPr>
        <w:t xml:space="preserve">成交供应商在以下方式中选择其一，作为双方对履约保函的约定。</w:t>
      </w:r>
      <w:r/>
    </w:p>
    <w:p>
      <w:pPr>
        <w:ind w:right="30" w:firstLine="460"/>
        <w:jc w:val="left"/>
        <w:spacing w:before="27" w:line="312" w:lineRule="auto"/>
        <w:widowControl/>
        <w:rPr>
          <w:rFonts w:ascii="宋体" w:hAnsi="宋体" w:cs="宋体"/>
          <w:color w:val="000000"/>
          <w:spacing w:val="-10"/>
          <w:sz w:val="24"/>
          <w:szCs w:val="24"/>
          <w:u w:val="none"/>
        </w:rPr>
      </w:pPr>
      <w:r>
        <w:rPr>
          <w:rFonts w:ascii="Segoe UI Symbol" w:hAnsi="Segoe UI Symbol" w:eastAsia="Segoe UI Symbol" w:cs="Segoe UI Symbol"/>
          <w:color w:val="000000"/>
          <w:spacing w:val="-5"/>
          <w:sz w:val="24"/>
          <w:szCs w:val="24"/>
          <w:u w:val="none"/>
        </w:rPr>
        <w:t xml:space="preserve">☑</w:t>
      </w:r>
      <w:r>
        <w:rPr>
          <w:rFonts w:hint="eastAsia" w:ascii="宋体" w:hAnsi="宋体" w:cs="宋体"/>
          <w:color w:val="000000"/>
          <w:spacing w:val="-10"/>
          <w:sz w:val="24"/>
          <w:szCs w:val="24"/>
          <w:u w:val="none"/>
        </w:rPr>
        <w:t xml:space="preserve">供应商不提交履约保函。</w:t>
      </w:r>
      <w:r/>
    </w:p>
    <w:p>
      <w:pPr>
        <w:ind w:right="30" w:firstLine="440"/>
        <w:jc w:val="left"/>
        <w:spacing w:before="27" w:line="312" w:lineRule="auto"/>
        <w:widowControl/>
        <w:rPr>
          <w:rFonts w:ascii="宋体" w:hAnsi="宋体" w:cs="宋体"/>
          <w:color w:val="000000"/>
          <w:spacing w:val="-10"/>
          <w:sz w:val="24"/>
          <w:szCs w:val="24"/>
          <w:u w:val="none"/>
        </w:rPr>
      </w:pPr>
      <w:r>
        <w:rPr>
          <w:rFonts w:hint="eastAsia" w:ascii="宋体" w:hAnsi="宋体" w:cs="宋体"/>
          <w:color w:val="000000"/>
          <w:spacing w:val="-10"/>
          <w:sz w:val="24"/>
          <w:szCs w:val="24"/>
          <w:u w:val="none"/>
        </w:rPr>
        <w:t xml:space="preserve">□供应商提交履约保函的格式、金额和时间</w:t>
      </w:r>
      <w:r/>
    </w:p>
    <w:p>
      <w:pPr>
        <w:ind w:right="30" w:firstLine="440"/>
        <w:jc w:val="left"/>
        <w:spacing w:before="27" w:line="312" w:lineRule="auto"/>
        <w:widowControl/>
        <w:rPr>
          <w:rFonts w:ascii="宋体" w:hAnsi="宋体" w:cs="宋体"/>
          <w:color w:val="000000"/>
          <w:spacing w:val="-10"/>
          <w:sz w:val="24"/>
          <w:szCs w:val="24"/>
          <w:u w:val="none"/>
        </w:rPr>
      </w:pPr>
      <w:r>
        <w:rPr>
          <w:rFonts w:hint="eastAsia" w:ascii="宋体" w:hAnsi="宋体" w:cs="宋体"/>
          <w:color w:val="000000"/>
          <w:spacing w:val="-10"/>
          <w:sz w:val="24"/>
          <w:szCs w:val="24"/>
          <w:u w:val="none"/>
        </w:rPr>
        <w:t xml:space="preserve"> 格式为银行保函，金额为中标金额的10%，收到成交通知书20天内提交 。</w:t>
      </w:r>
      <w:bookmarkEnd w:id="183"/>
      <w:r/>
      <w:bookmarkEnd w:id="184"/>
      <w:r/>
      <w:bookmarkEnd w:id="185"/>
      <w:r/>
      <w:r/>
    </w:p>
    <w:p>
      <w:pPr>
        <w:pStyle w:val="779"/>
        <w:ind w:firstLine="1200"/>
        <w:spacing w:line="360" w:lineRule="auto"/>
        <w:rPr>
          <w:rFonts w:ascii="宋体" w:hAnsi="宋体"/>
          <w:color w:val="000000"/>
          <w:sz w:val="24"/>
          <w:u w:val="none"/>
        </w:rPr>
      </w:pPr>
      <w:r>
        <w:rPr>
          <w:rFonts w:ascii="宋体" w:hAnsi="宋体"/>
          <w:color w:val="000000"/>
          <w:sz w:val="24"/>
          <w:u w:val="none"/>
        </w:rPr>
      </w:r>
      <w:r/>
    </w:p>
    <w:p>
      <w:pPr>
        <w:pStyle w:val="1036"/>
        <w:ind w:firstLine="301"/>
        <w:keepLines w:val="0"/>
        <w:keepNext w:val="0"/>
        <w:spacing w:before="200" w:after="200" w:line="360" w:lineRule="auto"/>
        <w:tabs>
          <w:tab w:val="left" w:pos="5191" w:leader="none"/>
        </w:tabs>
        <w:rPr>
          <w:rFonts w:ascii="宋体" w:hAnsi="宋体"/>
          <w:color w:val="000000"/>
          <w:sz w:val="30"/>
          <w:u w:val="none"/>
          <w:lang w:eastAsia="zh-CN"/>
        </w:rPr>
      </w:pPr>
      <w:r/>
      <w:bookmarkStart w:id="186" w:name="_Toc73365504"/>
      <w:r/>
      <w:bookmarkStart w:id="187" w:name="_Toc73364891"/>
      <w:r/>
      <w:bookmarkStart w:id="188" w:name="_Toc256000048"/>
      <w:r>
        <w:rPr>
          <w:rFonts w:hint="eastAsia" w:ascii="宋体" w:hAnsi="宋体"/>
          <w:color w:val="000000"/>
          <w:sz w:val="30"/>
          <w:u w:val="none"/>
          <w:lang w:eastAsia="zh-CN"/>
        </w:rPr>
        <w:t xml:space="preserve">31．询问</w:t>
      </w:r>
      <w:bookmarkEnd w:id="186"/>
      <w:r/>
      <w:bookmarkEnd w:id="187"/>
      <w:r/>
      <w:bookmarkEnd w:id="188"/>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31.1供应商对磋商活动事项有疑问的，可以向采购人或磋商组织方提出询问，采购人或磋商组织方将依法作出答复，但答复的内容不得涉及商业秘密。</w:t>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89" w:name="_Toc256000049"/>
      <w:r/>
      <w:bookmarkStart w:id="190" w:name="_Toc73365505"/>
      <w:r/>
      <w:bookmarkStart w:id="191" w:name="_Toc73364892"/>
      <w:r>
        <w:rPr>
          <w:rFonts w:hint="eastAsia" w:ascii="宋体" w:hAnsi="宋体"/>
          <w:color w:val="000000"/>
          <w:sz w:val="30"/>
          <w:u w:val="none"/>
          <w:lang w:eastAsia="zh-CN"/>
        </w:rPr>
        <w:t xml:space="preserve">32．质疑</w:t>
      </w:r>
      <w:bookmarkEnd w:id="189"/>
      <w:r/>
      <w:bookmarkEnd w:id="190"/>
      <w:r/>
      <w:bookmarkEnd w:id="191"/>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92" w:name="EBe57b2086e1964f6c9a98adb43196769d"/>
      <w:r>
        <w:rPr>
          <w:rFonts w:ascii="宋体" w:hAnsi="宋体"/>
          <w:color w:val="000000"/>
          <w:sz w:val="20"/>
          <w:u w:val="none"/>
        </w:rPr>
        <w:t xml:space="preserve"> </w:t>
      </w:r>
      <w:bookmarkEnd w:id="192"/>
      <w:r/>
      <w:bookmarkStart w:id="193" w:name="EB14c12432eda944b6b81906a07b050baa"/>
      <w:r>
        <w:rPr>
          <w:rFonts w:ascii="宋体" w:hAnsi="宋体"/>
          <w:color w:val="000000"/>
          <w:sz w:val="20"/>
          <w:u w:val="none"/>
        </w:rPr>
        <w:t xml:space="preserve"> </w:t>
      </w:r>
      <w:bookmarkEnd w:id="193"/>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以上规定的供应商应知其权益受到损害之日，是指：</w:t>
      </w:r>
      <w:r/>
    </w:p>
    <w:p>
      <w:pPr>
        <w:ind w:firstLine="360"/>
        <w:spacing w:line="360" w:lineRule="auto"/>
        <w:rPr>
          <w:rFonts w:ascii="宋体" w:hAnsi="宋体"/>
          <w:color w:val="000000"/>
          <w:sz w:val="24"/>
          <w:u w:val="none"/>
        </w:rPr>
      </w:pPr>
      <w:r>
        <w:rPr>
          <w:rFonts w:hint="eastAsia" w:ascii="宋体" w:hAnsi="宋体"/>
          <w:color w:val="000000"/>
          <w:sz w:val="24"/>
          <w:u w:val="none"/>
        </w:rPr>
        <w:t xml:space="preserve">（1）对可以质疑的磋商文件提出质疑的，为收到磋商文件之日或者磋商文件公告期限届满之日；</w:t>
      </w:r>
      <w:r/>
    </w:p>
    <w:p>
      <w:pPr>
        <w:ind w:firstLine="360"/>
        <w:spacing w:line="360" w:lineRule="auto"/>
        <w:rPr>
          <w:rFonts w:ascii="宋体" w:hAnsi="宋体"/>
          <w:color w:val="000000"/>
          <w:sz w:val="24"/>
          <w:u w:val="none"/>
        </w:rPr>
      </w:pPr>
      <w:r>
        <w:rPr>
          <w:rFonts w:hint="eastAsia" w:ascii="宋体" w:hAnsi="宋体"/>
          <w:color w:val="000000"/>
          <w:sz w:val="24"/>
          <w:u w:val="none"/>
        </w:rPr>
        <w:t xml:space="preserve">（2）对采购过程提出质疑的，为各采购程序环节结束之日；</w:t>
      </w:r>
      <w:r/>
    </w:p>
    <w:p>
      <w:pPr>
        <w:ind w:firstLine="360"/>
        <w:spacing w:line="360" w:lineRule="auto"/>
        <w:rPr>
          <w:rFonts w:ascii="宋体" w:hAnsi="宋体"/>
          <w:color w:val="000000"/>
          <w:sz w:val="24"/>
          <w:u w:val="none"/>
        </w:rPr>
      </w:pPr>
      <w:r>
        <w:rPr>
          <w:rFonts w:hint="eastAsia" w:ascii="宋体" w:hAnsi="宋体"/>
          <w:color w:val="000000"/>
          <w:sz w:val="24"/>
          <w:u w:val="none"/>
        </w:rPr>
        <w:t xml:space="preserve">（3）对成交结果提出质疑的，为结果公告期限届满之日。</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000000"/>
          <w:sz w:val="24"/>
          <w:u w:val="none"/>
        </w:rPr>
      </w:pPr>
      <w:r>
        <w:rPr>
          <w:rFonts w:hint="eastAsia" w:ascii="宋体" w:hAnsi="宋体"/>
          <w:color w:val="000000"/>
          <w:sz w:val="24"/>
          <w:u w:val="none"/>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ff0000"/>
          <w:sz w:val="24"/>
          <w:u w:val="none"/>
        </w:rPr>
      </w:pPr>
      <w:r>
        <w:rPr>
          <w:rFonts w:hint="eastAsia" w:ascii="宋体" w:hAnsi="宋体"/>
          <w:color w:val="000000"/>
          <w:sz w:val="24"/>
          <w:u w:val="none"/>
        </w:rPr>
        <w:t xml:space="preserve">32.4</w:t>
      </w:r>
      <w:r>
        <w:rPr>
          <w:rFonts w:hint="eastAsia" w:ascii="宋体" w:hAnsi="宋体"/>
          <w:sz w:val="24"/>
          <w:u w:val="none"/>
        </w:rPr>
        <w:t xml:space="preserve">集中采购接受质疑函联系部门、联系电话和通讯地址、质疑流程及注意事项见“镇江市公共资源交易服务平台—政府采购”网站“质疑渠道”。分散采购接受质疑函联系部门、联系电话和通讯地址 </w:t>
      </w:r>
      <w:r>
        <w:rPr>
          <w:rFonts w:ascii="宋体" w:hAnsi="宋体" w:eastAsia="宋体" w:cs="宋体"/>
          <w:color w:val="0000ff"/>
          <w:sz w:val="24"/>
        </w:rPr>
        <w:t xml:space="preserve">句容市玉清路1号扬中鱼府三楼</w:t>
      </w:r>
      <w:r>
        <w:rPr>
          <w:rFonts w:hint="eastAsia" w:ascii="宋体" w:hAnsi="宋体"/>
          <w:color w:val="000000" w:themeColor="text1"/>
          <w:sz w:val="24"/>
          <w:u w:val="none"/>
        </w:rPr>
        <w:t xml:space="preserve">  </w:t>
      </w:r>
      <w:r>
        <w:rPr>
          <w:rFonts w:hint="eastAsia" w:ascii="宋体" w:hAnsi="宋体"/>
          <w:color w:val="000000" w:themeColor="text1"/>
          <w:sz w:val="24"/>
          <w:u w:val="none"/>
          <w:lang w:eastAsia="zh-CN"/>
        </w:rPr>
        <w:t xml:space="preserve">江苏镇江千寻工程咨询有限公司</w:t>
      </w:r>
      <w:r>
        <w:rPr>
          <w:rFonts w:hint="eastAsia" w:ascii="宋体" w:hAnsi="宋体"/>
          <w:color w:val="000000" w:themeColor="text1"/>
          <w:sz w:val="24"/>
          <w:u w:val="none"/>
        </w:rPr>
        <w:t xml:space="preserve"> </w:t>
      </w:r>
      <w:r>
        <w:rPr>
          <w:rFonts w:hint="eastAsia" w:ascii="宋体" w:hAnsi="宋体"/>
          <w:color w:val="000000" w:themeColor="text1"/>
          <w:sz w:val="24"/>
          <w:szCs w:val="28"/>
          <w:u w:val="none"/>
        </w:rPr>
        <w:t xml:space="preserve">0511-87686999</w:t>
      </w:r>
      <w:r>
        <w:rPr>
          <w:rFonts w:hint="eastAsia" w:ascii="宋体" w:hAnsi="宋体"/>
          <w:color w:val="000000" w:themeColor="text1"/>
          <w:sz w:val="24"/>
          <w:u w:val="none"/>
        </w:rPr>
        <w:t xml:space="preserve"> 。</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94" w:name="_Toc256000050"/>
      <w:r/>
      <w:bookmarkStart w:id="195" w:name="_Toc73364893"/>
      <w:r/>
      <w:bookmarkStart w:id="196" w:name="_Toc73365506"/>
      <w:r>
        <w:rPr>
          <w:rFonts w:hint="eastAsia" w:ascii="宋体" w:hAnsi="宋体"/>
          <w:color w:val="000000"/>
          <w:sz w:val="30"/>
          <w:u w:val="none"/>
          <w:lang w:eastAsia="zh-CN"/>
        </w:rPr>
        <w:t xml:space="preserve">33．投诉</w:t>
      </w:r>
      <w:bookmarkEnd w:id="194"/>
      <w:r/>
      <w:bookmarkEnd w:id="195"/>
      <w:r/>
      <w:bookmarkEnd w:id="196"/>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33.1质疑供应商对采购人、磋商组织方的答复不满意，或者采购人、磋商组织方未在规定的时间内作出答复的，可以在答复期满后十五个工作日内向采购项目同级财政部门投诉。</w:t>
      </w:r>
      <w:r/>
    </w:p>
    <w:p>
      <w:pPr>
        <w:pStyle w:val="1034"/>
        <w:rPr>
          <w:rFonts w:ascii="宋体" w:hAnsi="宋体" w:eastAsia="宋体"/>
          <w:color w:val="000000"/>
          <w:sz w:val="32"/>
          <w:u w:val="none"/>
          <w:lang w:eastAsia="zh-CN"/>
        </w:rPr>
      </w:pPr>
      <w:r/>
      <w:bookmarkStart w:id="197" w:name="_Toc256000051"/>
      <w:r/>
      <w:bookmarkStart w:id="198" w:name="_Toc73365507"/>
      <w:r/>
      <w:bookmarkStart w:id="199" w:name="_Toc73364894"/>
      <w:r>
        <w:rPr>
          <w:rFonts w:hint="eastAsia" w:ascii="宋体" w:hAnsi="宋体" w:eastAsia="宋体"/>
          <w:color w:val="000000"/>
          <w:sz w:val="32"/>
          <w:u w:val="none"/>
          <w:lang w:eastAsia="zh-CN"/>
        </w:rPr>
        <w:t xml:space="preserve">八、诚实信用和解释权</w:t>
      </w:r>
      <w:bookmarkEnd w:id="197"/>
      <w:r/>
      <w:bookmarkEnd w:id="198"/>
      <w:r/>
      <w:bookmarkEnd w:id="199"/>
      <w:r/>
      <w:r/>
    </w:p>
    <w:p>
      <w:pPr>
        <w:pStyle w:val="1036"/>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200" w:name="_Toc73365508"/>
      <w:r/>
      <w:bookmarkStart w:id="201" w:name="_Toc73364895"/>
      <w:r/>
      <w:bookmarkStart w:id="202" w:name="_Toc256000052"/>
      <w:r>
        <w:rPr>
          <w:rFonts w:hint="eastAsia" w:ascii="宋体" w:hAnsi="宋体"/>
          <w:color w:val="000000"/>
          <w:sz w:val="30"/>
          <w:u w:val="none"/>
          <w:lang w:eastAsia="zh-CN"/>
        </w:rPr>
        <w:t xml:space="preserve">34．诚实信用</w:t>
      </w:r>
      <w:bookmarkEnd w:id="200"/>
      <w:r/>
      <w:bookmarkEnd w:id="201"/>
      <w:r/>
      <w:bookmarkEnd w:id="202"/>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34.1供应商之间不得相互串通磋商报价，不得妨碍其他供应商的公平竞争，不得损害采购人和其他供应商的合法权益。</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34.3供应商不得虚假承诺，否则，按照提供虚假材料谋取中标/成交处理。</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34</w:t>
      </w:r>
      <w:r>
        <w:rPr>
          <w:rFonts w:ascii="宋体" w:hAnsi="宋体"/>
          <w:color w:val="000000"/>
          <w:sz w:val="24"/>
          <w:u w:val="none"/>
        </w:rPr>
        <w:t xml:space="preserve">.4供应商应自觉遵守</w:t>
      </w:r>
      <w:r>
        <w:rPr>
          <w:rFonts w:hint="eastAsia" w:ascii="宋体" w:hAnsi="宋体"/>
          <w:color w:val="000000"/>
          <w:sz w:val="24"/>
          <w:u w:val="none"/>
        </w:rPr>
        <w:t xml:space="preserve">磋商</w:t>
      </w:r>
      <w:r>
        <w:rPr>
          <w:rFonts w:ascii="宋体" w:hAnsi="宋体"/>
          <w:color w:val="000000"/>
          <w:sz w:val="24"/>
          <w:u w:val="none"/>
        </w:rPr>
        <w:t xml:space="preserve">纪律，扰乱</w:t>
      </w:r>
      <w:r>
        <w:rPr>
          <w:rFonts w:hint="eastAsia" w:ascii="宋体" w:hAnsi="宋体"/>
          <w:color w:val="000000"/>
          <w:sz w:val="24"/>
          <w:u w:val="none"/>
        </w:rPr>
        <w:t xml:space="preserve">磋商</w:t>
      </w:r>
      <w:r>
        <w:rPr>
          <w:rFonts w:ascii="宋体" w:hAnsi="宋体"/>
          <w:color w:val="000000"/>
          <w:sz w:val="24"/>
          <w:u w:val="none"/>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34</w:t>
      </w:r>
      <w:r>
        <w:rPr>
          <w:rFonts w:ascii="宋体" w:hAnsi="宋体"/>
          <w:color w:val="000000"/>
          <w:sz w:val="24"/>
          <w:u w:val="none"/>
        </w:rPr>
        <w:t xml:space="preserve">.5</w:t>
      </w:r>
      <w:r>
        <w:rPr>
          <w:rFonts w:hint="eastAsia" w:ascii="宋体" w:hAnsi="宋体"/>
          <w:color w:val="000000"/>
          <w:sz w:val="24"/>
          <w:u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color w:val="000000"/>
          <w:sz w:val="24"/>
          <w:u w:val="none"/>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36"/>
        <w:ind w:firstLine="446"/>
        <w:keepLines w:val="0"/>
        <w:keepNext w:val="0"/>
        <w:spacing w:before="0" w:after="0" w:line="360" w:lineRule="auto"/>
        <w:tabs>
          <w:tab w:val="left" w:pos="5191" w:leader="none"/>
        </w:tabs>
        <w:rPr>
          <w:rFonts w:ascii="宋体" w:hAnsi="宋体"/>
          <w:color w:val="000000"/>
          <w:sz w:val="30"/>
          <w:u w:val="none"/>
          <w:lang w:eastAsia="zh-CN"/>
        </w:rPr>
      </w:pPr>
      <w:r/>
      <w:bookmarkStart w:id="203" w:name="_Toc73365509"/>
      <w:r/>
      <w:bookmarkStart w:id="204" w:name="_Toc256000053"/>
      <w:r/>
      <w:bookmarkStart w:id="205" w:name="_Toc73364896"/>
      <w:r>
        <w:rPr>
          <w:rFonts w:hint="eastAsia" w:ascii="宋体" w:hAnsi="宋体"/>
          <w:color w:val="000000"/>
          <w:sz w:val="30"/>
          <w:u w:val="none"/>
          <w:lang w:eastAsia="zh-CN"/>
        </w:rPr>
        <w:t xml:space="preserve">35．解释权</w:t>
      </w:r>
      <w:bookmarkEnd w:id="203"/>
      <w:r/>
      <w:bookmarkEnd w:id="204"/>
      <w:r/>
      <w:bookmarkEnd w:id="205"/>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35.1除相关法律、法规规定外，本磋商文件的解释权归</w:t>
      </w:r>
      <w:r>
        <w:rPr>
          <w:rFonts w:hint="eastAsia" w:ascii="宋体" w:hAnsi="宋体"/>
          <w:color w:val="000000"/>
          <w:sz w:val="24"/>
          <w:u w:val="none"/>
          <w:lang w:eastAsia="zh-CN"/>
        </w:rPr>
        <w:t xml:space="preserve">江苏镇江千寻工程咨询有限公司</w:t>
      </w:r>
      <w:r>
        <w:rPr>
          <w:rFonts w:hint="eastAsia" w:ascii="宋体" w:hAnsi="宋体"/>
          <w:color w:val="000000"/>
          <w:sz w:val="24"/>
          <w:u w:val="none"/>
        </w:rPr>
        <w:t xml:space="preserve">所有。</w:t>
      </w:r>
      <w:r/>
    </w:p>
    <w:p>
      <w:pPr>
        <w:pStyle w:val="1036"/>
        <w:ind w:firstLine="446"/>
        <w:keepLines w:val="0"/>
        <w:keepNext w:val="0"/>
        <w:spacing w:before="0" w:after="0" w:line="360" w:lineRule="auto"/>
        <w:tabs>
          <w:tab w:val="left" w:pos="5191" w:leader="none"/>
        </w:tabs>
        <w:rPr>
          <w:rFonts w:ascii="宋体" w:hAnsi="宋体"/>
          <w:color w:val="000000"/>
          <w:sz w:val="30"/>
          <w:u w:val="none"/>
          <w:lang w:eastAsia="zh-CN"/>
        </w:rPr>
      </w:pPr>
      <w:r/>
      <w:bookmarkStart w:id="206" w:name="_Toc256000054"/>
      <w:r/>
      <w:bookmarkStart w:id="207" w:name="_Toc73364897"/>
      <w:r/>
      <w:bookmarkStart w:id="208" w:name="_Toc73365510"/>
      <w:r>
        <w:rPr>
          <w:rFonts w:hint="eastAsia" w:ascii="宋体" w:hAnsi="宋体"/>
          <w:color w:val="000000"/>
          <w:sz w:val="30"/>
          <w:u w:val="none"/>
          <w:lang w:eastAsia="zh-CN"/>
        </w:rPr>
        <w:t xml:space="preserve">36．适用法律及约束力</w:t>
      </w:r>
      <w:bookmarkEnd w:id="206"/>
      <w:r/>
      <w:bookmarkEnd w:id="207"/>
      <w:r/>
      <w:bookmarkEnd w:id="208"/>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36.1</w:t>
      </w:r>
      <w:r>
        <w:rPr>
          <w:rFonts w:hint="eastAsia" w:ascii="宋体" w:hAnsi="宋体"/>
          <w:b/>
          <w:color w:val="000000"/>
          <w:sz w:val="24"/>
          <w:u w:val="none"/>
        </w:rPr>
        <w:t xml:space="preserve">供应商一旦获取了本磋商文件并参加磋商，即被认为接受了本磋商文件的规定和约束。</w:t>
      </w:r>
      <w:r/>
    </w:p>
    <w:p>
      <w:pPr>
        <w:ind w:firstLine="480"/>
        <w:spacing w:line="360" w:lineRule="auto"/>
        <w:rPr>
          <w:rFonts w:ascii="宋体" w:hAnsi="宋体"/>
          <w:color w:val="000000"/>
          <w:sz w:val="24"/>
          <w:u w:val="none"/>
        </w:rPr>
        <w:sectPr>
          <w:footerReference w:type="default" r:id="rId10"/>
          <w:footerReference w:type="first" r:id="rId11"/>
          <w:footnotePr/>
          <w:endnotePr/>
          <w:type w:val="nextPage"/>
          <w:pgSz w:w="11907" w:h="16840" w:orient="portrait"/>
          <w:pgMar w:top="1440" w:right="1270" w:bottom="1440" w:left="1270" w:header="851" w:footer="851" w:gutter="0"/>
          <w:cols w:num="1" w:sep="0" w:space="1701" w:equalWidth="1"/>
          <w:docGrid w:linePitch="360"/>
          <w:titlePg/>
        </w:sectPr>
      </w:pPr>
      <w:r>
        <w:rPr>
          <w:rFonts w:hint="eastAsia" w:ascii="宋体" w:hAnsi="宋体"/>
          <w:color w:val="000000"/>
          <w:sz w:val="24"/>
          <w:u w:val="none"/>
        </w:rPr>
        <w:t xml:space="preserve">36.2本次采购及由本次采购产生的合同受中华人民共和国法律制约和保护。</w:t>
      </w:r>
      <w:bookmarkStart w:id="209" w:name="EB419d05b8a1254ef8af4578a7646e1195"/>
      <w:r/>
      <w:bookmarkEnd w:id="209"/>
      <w:r/>
      <w:bookmarkStart w:id="210" w:name="_Toc73365512"/>
      <w:r/>
      <w:bookmarkStart w:id="211" w:name="_Toc73364899"/>
      <w:r/>
      <w:bookmarkStart w:id="212" w:name="_Toc256000056"/>
      <w:r/>
      <w:r/>
    </w:p>
    <w:p>
      <w:pPr>
        <w:jc w:val="center"/>
        <w:widowControl/>
        <w:rPr>
          <w:rFonts w:ascii="宋体" w:hAnsi="宋体"/>
          <w:b/>
          <w:sz w:val="30"/>
          <w:szCs w:val="24"/>
          <w:u w:val="none"/>
        </w:rPr>
      </w:pPr>
      <w:r/>
      <w:bookmarkStart w:id="213" w:name="EBe2f228841b774b11b5e875e8be3c15af"/>
      <w:r>
        <w:rPr>
          <w:rFonts w:hint="eastAsia" w:ascii="宋体" w:hAnsi="宋体"/>
          <w:b/>
          <w:sz w:val="30"/>
          <w:szCs w:val="24"/>
          <w:u w:val="none"/>
        </w:rPr>
        <w:t xml:space="preserve">第三部分  拟签订的合同文本（货物、服务类）</w:t>
      </w:r>
      <w:r/>
    </w:p>
    <w:p>
      <w:pPr>
        <w:spacing w:line="360" w:lineRule="auto"/>
        <w:rPr>
          <w:rFonts w:ascii="宋体" w:hAnsi="宋体" w:cs="宋体"/>
          <w:sz w:val="24"/>
          <w:szCs w:val="24"/>
          <w:u w:val="none"/>
        </w:rPr>
      </w:pPr>
      <w:r>
        <w:rPr>
          <w:rFonts w:hint="eastAsia" w:ascii="宋体" w:hAnsi="宋体" w:cs="宋体"/>
          <w:sz w:val="24"/>
          <w:szCs w:val="24"/>
          <w:u w:val="none"/>
        </w:rPr>
        <w:t xml:space="preserve">合同编号：           </w:t>
      </w:r>
      <w:r/>
    </w:p>
    <w:p>
      <w:pPr>
        <w:spacing w:line="360" w:lineRule="auto"/>
        <w:rPr>
          <w:rFonts w:ascii="宋体" w:hAnsi="宋体" w:cs="宋体"/>
          <w:b/>
          <w:sz w:val="24"/>
          <w:szCs w:val="24"/>
          <w:u w:val="none"/>
        </w:rPr>
      </w:pPr>
      <w:r>
        <w:rPr>
          <w:rFonts w:ascii="宋体" w:hAnsi="宋体" w:cs="宋体"/>
          <w:b/>
          <w:sz w:val="24"/>
          <w:szCs w:val="24"/>
          <w:u w:val="none"/>
        </w:rPr>
      </w:r>
      <w:r/>
    </w:p>
    <w:p>
      <w:pPr>
        <w:jc w:val="center"/>
        <w:spacing w:line="360" w:lineRule="auto"/>
        <w:rPr>
          <w:rFonts w:ascii="宋体" w:hAnsi="宋体" w:cs="宋体"/>
          <w:b/>
          <w:i/>
          <w:iCs/>
          <w:sz w:val="36"/>
          <w:szCs w:val="36"/>
          <w:u w:val="none"/>
        </w:rPr>
      </w:pPr>
      <w:r>
        <w:rPr>
          <w:rFonts w:hint="eastAsia" w:ascii="宋体" w:hAnsi="宋体" w:cs="宋体"/>
          <w:b/>
          <w:i/>
          <w:iCs/>
          <w:sz w:val="36"/>
          <w:szCs w:val="36"/>
          <w:u w:val="none"/>
        </w:rPr>
        <w:t xml:space="preserve">政府采购合同参考范本</w:t>
      </w:r>
      <w:r/>
    </w:p>
    <w:p>
      <w:pPr>
        <w:jc w:val="center"/>
        <w:spacing w:line="360" w:lineRule="auto"/>
        <w:rPr>
          <w:rFonts w:ascii="宋体" w:hAnsi="宋体" w:cs="宋体"/>
          <w:b/>
          <w:sz w:val="36"/>
          <w:szCs w:val="36"/>
          <w:u w:val="none"/>
        </w:rPr>
      </w:pPr>
      <w:r>
        <w:rPr>
          <w:rFonts w:hint="eastAsia" w:ascii="宋体" w:hAnsi="宋体" w:cs="宋体"/>
          <w:b/>
          <w:sz w:val="36"/>
          <w:szCs w:val="36"/>
          <w:u w:val="none"/>
        </w:rPr>
        <w:t xml:space="preserve">（货物、服务类）</w:t>
      </w:r>
      <w:r/>
    </w:p>
    <w:p>
      <w:pPr>
        <w:spacing w:line="360" w:lineRule="auto"/>
        <w:rPr>
          <w:rFonts w:ascii="宋体" w:hAnsi="宋体" w:cs="宋体"/>
          <w:szCs w:val="24"/>
          <w:u w:val="none"/>
        </w:rPr>
      </w:pPr>
      <w:r>
        <w:rPr>
          <w:rFonts w:ascii="宋体" w:hAnsi="宋体" w:cs="宋体"/>
          <w:szCs w:val="24"/>
          <w:u w:val="none"/>
        </w:rPr>
      </w:r>
      <w:r/>
    </w:p>
    <w:p>
      <w:pPr>
        <w:ind w:firstLine="420"/>
        <w:jc w:val="center"/>
        <w:spacing w:line="360" w:lineRule="auto"/>
        <w:rPr>
          <w:rFonts w:ascii="宋体" w:hAnsi="宋体" w:cs="宋体"/>
          <w:szCs w:val="24"/>
          <w:u w:val="none"/>
        </w:rPr>
      </w:pPr>
      <w:r>
        <w:rPr>
          <w:rFonts w:ascii="宋体" w:hAnsi="宋体" w:cs="宋体"/>
          <w:szCs w:val="24"/>
          <w:u w:val="none"/>
        </w:rPr>
      </w:r>
      <w:r/>
    </w:p>
    <w:p>
      <w:pPr>
        <w:jc w:val="center"/>
        <w:spacing w:line="360" w:lineRule="auto"/>
        <w:rPr>
          <w:rFonts w:ascii="宋体" w:hAnsi="宋体" w:cs="宋体"/>
          <w:b/>
          <w:sz w:val="36"/>
          <w:szCs w:val="36"/>
          <w:u w:val="none"/>
        </w:rPr>
      </w:pPr>
      <w:r>
        <w:rPr>
          <w:rFonts w:hint="eastAsia" w:ascii="宋体" w:hAnsi="宋体" w:cs="宋体"/>
          <w:b/>
          <w:sz w:val="36"/>
          <w:szCs w:val="36"/>
          <w:u w:val="none"/>
        </w:rPr>
        <w:t xml:space="preserve">第一</w:t>
      </w:r>
      <w:bookmarkStart w:id="214" w:name="_Hlk136502621"/>
      <w:r>
        <w:rPr>
          <w:rFonts w:hint="eastAsia" w:ascii="宋体" w:hAnsi="宋体" w:cs="宋体"/>
          <w:b/>
          <w:sz w:val="36"/>
          <w:szCs w:val="36"/>
          <w:u w:val="none"/>
        </w:rPr>
        <w:t xml:space="preserve">部分</w:t>
      </w:r>
      <w:bookmarkEnd w:id="214"/>
      <w:r>
        <w:rPr>
          <w:rFonts w:hint="eastAsia" w:ascii="宋体" w:hAnsi="宋体" w:cs="宋体"/>
          <w:b/>
          <w:sz w:val="36"/>
          <w:szCs w:val="36"/>
          <w:u w:val="none"/>
        </w:rPr>
        <w:t xml:space="preserve"> 合同书</w:t>
      </w:r>
      <w:r/>
    </w:p>
    <w:p>
      <w:pPr>
        <w:ind w:firstLine="420"/>
        <w:spacing w:line="360" w:lineRule="auto"/>
        <w:rPr>
          <w:rFonts w:ascii="宋体" w:hAnsi="宋体" w:cs="宋体"/>
          <w:szCs w:val="24"/>
          <w:u w:val="none"/>
        </w:rPr>
      </w:pPr>
      <w:r>
        <w:rPr>
          <w:rFonts w:ascii="宋体" w:hAnsi="宋体" w:cs="宋体"/>
          <w:szCs w:val="24"/>
          <w:u w:val="none"/>
        </w:rPr>
      </w:r>
      <w:r/>
    </w:p>
    <w:p>
      <w:pPr>
        <w:ind w:firstLine="420"/>
        <w:spacing w:line="360" w:lineRule="auto"/>
        <w:rPr>
          <w:rFonts w:ascii="宋体" w:hAnsi="宋体" w:cs="宋体"/>
          <w:szCs w:val="24"/>
          <w:u w:val="none"/>
        </w:rPr>
      </w:pPr>
      <w:r>
        <w:rPr>
          <w:rFonts w:ascii="宋体" w:hAnsi="宋体" w:cs="宋体"/>
          <w:szCs w:val="24"/>
          <w:u w:val="none"/>
        </w:rPr>
      </w:r>
      <w:r/>
    </w:p>
    <w:p>
      <w:pPr>
        <w:ind w:firstLine="420"/>
        <w:spacing w:line="360" w:lineRule="auto"/>
        <w:rPr>
          <w:rFonts w:ascii="宋体" w:hAnsi="宋体" w:cs="宋体"/>
          <w:szCs w:val="24"/>
          <w:u w:val="none"/>
        </w:rPr>
      </w:pPr>
      <w:r>
        <w:rPr>
          <w:rFonts w:ascii="宋体" w:hAnsi="宋体" w:cs="宋体"/>
          <w:szCs w:val="24"/>
          <w:u w:val="none"/>
        </w:rPr>
      </w:r>
      <w:r/>
    </w:p>
    <w:p>
      <w:pPr>
        <w:spacing w:before="120" w:line="360" w:lineRule="auto"/>
        <w:rPr>
          <w:rFonts w:ascii="宋体" w:hAnsi="宋体" w:cs="宋体"/>
          <w:sz w:val="24"/>
          <w:szCs w:val="24"/>
          <w:u w:val="none"/>
        </w:rPr>
      </w:pPr>
      <w:r>
        <w:rPr>
          <w:rFonts w:ascii="宋体" w:hAnsi="宋体" w:cs="宋体"/>
          <w:sz w:val="24"/>
          <w:szCs w:val="24"/>
          <w:u w:val="none"/>
        </w:rPr>
      </w:r>
      <w:r/>
    </w:p>
    <w:p>
      <w:pPr>
        <w:ind w:left="960"/>
        <w:spacing w:before="120" w:line="360" w:lineRule="auto"/>
        <w:rPr>
          <w:rFonts w:ascii="宋体" w:hAnsi="宋体" w:cs="宋体"/>
          <w:sz w:val="28"/>
          <w:szCs w:val="28"/>
          <w:u w:val="none"/>
        </w:rPr>
      </w:pPr>
      <w:r>
        <w:rPr>
          <w:rFonts w:hint="eastAsia" w:ascii="宋体" w:hAnsi="宋体" w:cs="宋体"/>
          <w:sz w:val="28"/>
          <w:szCs w:val="28"/>
          <w:u w:val="none"/>
        </w:rPr>
        <w:t xml:space="preserve">项目名称：                                   </w:t>
      </w:r>
      <w:r/>
    </w:p>
    <w:p>
      <w:pPr>
        <w:spacing w:before="120" w:line="360" w:lineRule="auto"/>
        <w:rPr>
          <w:rFonts w:ascii="宋体" w:hAnsi="宋体" w:cs="宋体"/>
          <w:sz w:val="28"/>
          <w:szCs w:val="28"/>
          <w:u w:val="none"/>
        </w:rPr>
      </w:pPr>
      <w:r>
        <w:rPr>
          <w:rFonts w:ascii="宋体" w:hAnsi="宋体" w:cs="宋体"/>
          <w:sz w:val="28"/>
          <w:szCs w:val="28"/>
          <w:u w:val="none"/>
        </w:rPr>
      </w:r>
      <w:r/>
    </w:p>
    <w:p>
      <w:pPr>
        <w:spacing w:line="360" w:lineRule="auto"/>
        <w:rPr>
          <w:rFonts w:ascii="宋体" w:hAnsi="宋体" w:cs="宋体"/>
          <w:sz w:val="28"/>
          <w:szCs w:val="28"/>
          <w:u w:val="none"/>
        </w:rPr>
      </w:pPr>
      <w:r>
        <w:rPr>
          <w:rFonts w:ascii="宋体" w:hAnsi="宋体" w:cs="宋体"/>
          <w:sz w:val="28"/>
          <w:szCs w:val="28"/>
          <w:u w:val="none"/>
        </w:rPr>
      </w:r>
      <w:r/>
    </w:p>
    <w:p>
      <w:pPr>
        <w:ind w:left="960"/>
        <w:spacing w:before="120" w:line="360" w:lineRule="auto"/>
        <w:rPr>
          <w:rFonts w:ascii="宋体" w:hAnsi="宋体" w:cs="宋体"/>
          <w:sz w:val="28"/>
          <w:szCs w:val="28"/>
          <w:u w:val="none"/>
        </w:rPr>
      </w:pPr>
      <w:r>
        <w:rPr>
          <w:rFonts w:hint="eastAsia" w:ascii="宋体" w:hAnsi="宋体" w:cs="宋体"/>
          <w:sz w:val="28"/>
          <w:szCs w:val="28"/>
          <w:u w:val="none"/>
        </w:rPr>
        <w:t xml:space="preserve">甲方：                                       </w:t>
      </w:r>
      <w:r/>
    </w:p>
    <w:p>
      <w:pPr>
        <w:spacing w:before="120" w:line="360" w:lineRule="auto"/>
        <w:rPr>
          <w:rFonts w:ascii="宋体" w:hAnsi="宋体" w:cs="宋体"/>
          <w:sz w:val="28"/>
          <w:szCs w:val="28"/>
          <w:u w:val="none"/>
        </w:rPr>
      </w:pPr>
      <w:r>
        <w:rPr>
          <w:rFonts w:ascii="宋体" w:hAnsi="宋体" w:cs="宋体"/>
          <w:sz w:val="28"/>
          <w:szCs w:val="28"/>
          <w:u w:val="none"/>
        </w:rPr>
      </w:r>
      <w:r/>
    </w:p>
    <w:p>
      <w:pPr>
        <w:ind w:left="960"/>
        <w:spacing w:before="120" w:line="360" w:lineRule="auto"/>
        <w:rPr>
          <w:rFonts w:ascii="宋体" w:hAnsi="宋体" w:cs="宋体"/>
          <w:sz w:val="28"/>
          <w:szCs w:val="28"/>
          <w:u w:val="none"/>
        </w:rPr>
      </w:pPr>
      <w:r>
        <w:rPr>
          <w:rFonts w:hint="eastAsia" w:ascii="宋体" w:hAnsi="宋体" w:cs="宋体"/>
          <w:sz w:val="28"/>
          <w:szCs w:val="28"/>
          <w:u w:val="none"/>
        </w:rPr>
        <w:t xml:space="preserve">乙方：                                       </w:t>
      </w:r>
      <w:r/>
    </w:p>
    <w:p>
      <w:pPr>
        <w:spacing w:before="120" w:line="360" w:lineRule="auto"/>
        <w:rPr>
          <w:rFonts w:ascii="宋体" w:hAnsi="宋体" w:cs="宋体"/>
          <w:sz w:val="28"/>
          <w:szCs w:val="28"/>
          <w:u w:val="none"/>
        </w:rPr>
      </w:pPr>
      <w:r>
        <w:rPr>
          <w:rFonts w:ascii="宋体" w:hAnsi="宋体" w:cs="宋体"/>
          <w:sz w:val="28"/>
          <w:szCs w:val="28"/>
          <w:u w:val="none"/>
        </w:rPr>
      </w:r>
      <w:r/>
    </w:p>
    <w:p>
      <w:pPr>
        <w:spacing w:before="120" w:line="360" w:lineRule="auto"/>
        <w:rPr>
          <w:rFonts w:ascii="宋体" w:hAnsi="宋体" w:cs="宋体"/>
          <w:sz w:val="28"/>
          <w:szCs w:val="28"/>
          <w:u w:val="none"/>
        </w:rPr>
      </w:pPr>
      <w:r>
        <w:rPr>
          <w:rFonts w:ascii="宋体" w:hAnsi="宋体" w:cs="宋体"/>
          <w:sz w:val="28"/>
          <w:szCs w:val="28"/>
          <w:u w:val="none"/>
        </w:rPr>
      </w:r>
      <w:r/>
    </w:p>
    <w:p>
      <w:pPr>
        <w:spacing w:before="120" w:line="360" w:lineRule="auto"/>
        <w:rPr>
          <w:rFonts w:ascii="宋体" w:hAnsi="宋体" w:cs="宋体"/>
          <w:sz w:val="28"/>
          <w:szCs w:val="28"/>
          <w:u w:val="none"/>
        </w:rPr>
      </w:pPr>
      <w:r>
        <w:rPr>
          <w:rFonts w:ascii="宋体" w:hAnsi="宋体" w:cs="宋体"/>
          <w:sz w:val="28"/>
          <w:szCs w:val="28"/>
          <w:u w:val="none"/>
        </w:rPr>
      </w:r>
      <w:r/>
    </w:p>
    <w:p>
      <w:pPr>
        <w:ind w:firstLine="1120"/>
        <w:spacing w:before="120" w:line="360" w:lineRule="auto"/>
        <w:rPr>
          <w:rFonts w:ascii="宋体" w:hAnsi="宋体" w:cs="宋体"/>
          <w:sz w:val="28"/>
          <w:szCs w:val="28"/>
          <w:u w:val="none"/>
        </w:rPr>
      </w:pPr>
      <w:r>
        <w:rPr>
          <w:rFonts w:ascii="宋体" w:hAnsi="宋体" w:cs="宋体"/>
          <w:sz w:val="28"/>
          <w:szCs w:val="28"/>
          <w:u w:val="none"/>
        </w:rPr>
      </w:r>
      <w:r/>
    </w:p>
    <w:p>
      <w:pPr>
        <w:ind w:firstLine="1120"/>
        <w:spacing w:before="120" w:line="360" w:lineRule="auto"/>
        <w:rPr>
          <w:rFonts w:ascii="宋体" w:hAnsi="宋体" w:cs="宋体"/>
          <w:sz w:val="28"/>
          <w:szCs w:val="28"/>
          <w:u w:val="none"/>
        </w:rPr>
      </w:pPr>
      <w:r>
        <w:rPr>
          <w:rFonts w:hint="eastAsia" w:ascii="宋体" w:hAnsi="宋体" w:cs="宋体"/>
          <w:sz w:val="28"/>
          <w:szCs w:val="28"/>
          <w:u w:val="none"/>
        </w:rPr>
        <w:t xml:space="preserve">签订日期：          年       月       日</w:t>
      </w:r>
      <w:r/>
    </w:p>
    <w:p>
      <w:pPr>
        <w:jc w:val="left"/>
        <w:spacing w:line="360" w:lineRule="auto"/>
        <w:widowControl/>
        <w:rPr>
          <w:rFonts w:ascii="宋体" w:hAnsi="宋体" w:cs="宋体"/>
          <w:sz w:val="24"/>
          <w:szCs w:val="24"/>
          <w:u w:val="none"/>
        </w:rPr>
        <w:sectPr>
          <w:footerReference w:type="default" r:id="rId12"/>
          <w:footnotePr/>
          <w:endnotePr/>
          <w:type w:val="nextPage"/>
          <w:pgSz w:w="11907" w:h="16840" w:orient="portrait"/>
          <w:pgMar w:top="1440" w:right="1270" w:bottom="1440" w:left="1270" w:header="851" w:footer="851" w:gutter="0"/>
          <w:cols w:num="1" w:sep="0" w:space="720" w:equalWidth="1"/>
          <w:docGrid w:linePitch="360"/>
          <w:titlePg/>
        </w:sectPr>
      </w:pPr>
      <w:r>
        <w:rPr>
          <w:rFonts w:ascii="宋体" w:hAnsi="宋体" w:cs="宋体"/>
          <w:sz w:val="24"/>
          <w:szCs w:val="24"/>
          <w:u w:val="none"/>
        </w:rPr>
      </w:r>
      <w:r/>
    </w:p>
    <w:p>
      <w:pPr>
        <w:ind w:firstLine="480"/>
        <w:spacing w:line="360" w:lineRule="auto"/>
        <w:rPr>
          <w:rFonts w:ascii="宋体" w:hAnsi="宋体" w:cs="宋体"/>
          <w:sz w:val="24"/>
          <w:szCs w:val="24"/>
          <w:u w:val="none"/>
        </w:rPr>
      </w:pPr>
      <w:r>
        <w:rPr>
          <w:rFonts w:hint="eastAsia" w:ascii="宋体" w:hAnsi="宋体" w:cs="宋体"/>
          <w:sz w:val="24"/>
          <w:szCs w:val="24"/>
          <w:u w:val="none"/>
          <w:lang w:val="zh-CN"/>
        </w:rPr>
        <w:t xml:space="preserve">根据《中华人民共和国民法典》《中华人民共和国政府采购法》等相关法律法规之规定和（</w:t>
      </w:r>
      <w:r>
        <w:rPr>
          <w:rFonts w:hint="eastAsia" w:ascii="宋体" w:hAnsi="宋体"/>
          <w:sz w:val="24"/>
          <w:szCs w:val="24"/>
          <w:u w:val="none"/>
        </w:rPr>
        <w:t xml:space="preserve">项目名称）（项目编号）的招标结果，</w:t>
      </w:r>
      <w:r>
        <w:rPr>
          <w:rFonts w:hint="eastAsia" w:ascii="宋体" w:hAnsi="宋体" w:cs="宋体"/>
          <w:sz w:val="24"/>
          <w:szCs w:val="24"/>
          <w:u w:val="none"/>
          <w:lang w:val="zh-CN"/>
        </w:rPr>
        <w:t xml:space="preserve">按照平等、自愿、公平、诚实信用和绿色的原则，经甲方和乙方协商一致，约定以下合同</w:t>
      </w:r>
      <w:r>
        <w:rPr>
          <w:rFonts w:hint="eastAsia" w:ascii="宋体" w:hAnsi="宋体" w:cs="宋体"/>
          <w:sz w:val="24"/>
          <w:szCs w:val="24"/>
          <w:u w:val="none"/>
        </w:rPr>
        <w:t xml:space="preserve">条款，以兹共同遵守、全面履行。</w:t>
      </w:r>
      <w:r/>
    </w:p>
    <w:p>
      <w:pPr>
        <w:ind w:firstLine="482"/>
        <w:spacing w:line="360" w:lineRule="auto"/>
        <w:rPr>
          <w:rFonts w:ascii="宋体" w:hAnsi="宋体" w:cs="宋体"/>
          <w:b/>
          <w:sz w:val="24"/>
          <w:szCs w:val="24"/>
          <w:u w:val="none"/>
        </w:rPr>
        <w:outlineLvl w:val="0"/>
      </w:pPr>
      <w:r/>
      <w:bookmarkStart w:id="215" w:name="_Toc24059"/>
      <w:r/>
      <w:bookmarkStart w:id="216" w:name="_Toc3029"/>
      <w:r/>
      <w:bookmarkStart w:id="217" w:name="_Toc2232"/>
      <w:r>
        <w:rPr>
          <w:rFonts w:hint="eastAsia" w:ascii="宋体" w:hAnsi="宋体" w:cs="宋体"/>
          <w:b/>
          <w:sz w:val="24"/>
          <w:szCs w:val="24"/>
          <w:u w:val="none"/>
        </w:rPr>
        <w:t xml:space="preserve">1.1合同组成部分</w:t>
      </w:r>
      <w:bookmarkEnd w:id="215"/>
      <w:r/>
      <w:bookmarkEnd w:id="216"/>
      <w:r/>
      <w:bookmarkEnd w:id="217"/>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1.1.1 本合同第一部分、第二部分、第三部分及其补充合同、变更协议；</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1.1.2 中标或者成交通知书；</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1.1.3 投标或者响应文件（含澄清或者说明文件）；</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1.1.4 采购文件（含澄清或者修改文件）；</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1.1.5 其他相关采购文件。</w:t>
      </w:r>
      <w:r/>
    </w:p>
    <w:p>
      <w:pPr>
        <w:ind w:firstLine="482"/>
        <w:spacing w:line="360" w:lineRule="auto"/>
        <w:rPr>
          <w:rFonts w:ascii="宋体" w:hAnsi="宋体" w:cs="宋体"/>
          <w:b/>
          <w:sz w:val="24"/>
          <w:szCs w:val="24"/>
          <w:u w:val="none"/>
        </w:rPr>
        <w:outlineLvl w:val="0"/>
      </w:pPr>
      <w:r/>
      <w:bookmarkStart w:id="218" w:name="_Toc24300"/>
      <w:r/>
      <w:bookmarkStart w:id="219" w:name="_Toc27126"/>
      <w:r/>
      <w:bookmarkStart w:id="220" w:name="_Toc21295"/>
      <w:r>
        <w:rPr>
          <w:rFonts w:hint="eastAsia" w:ascii="宋体" w:hAnsi="宋体" w:cs="宋体"/>
          <w:b/>
          <w:sz w:val="24"/>
          <w:szCs w:val="24"/>
          <w:u w:val="none"/>
        </w:rPr>
        <w:t xml:space="preserve">1.2 货物</w:t>
      </w:r>
      <w:bookmarkEnd w:id="218"/>
      <w:r/>
      <w:bookmarkEnd w:id="219"/>
      <w:r/>
      <w:bookmarkEnd w:id="220"/>
      <w:r>
        <w:rPr>
          <w:rFonts w:hint="eastAsia" w:ascii="宋体" w:hAnsi="宋体" w:cs="宋体"/>
          <w:b/>
          <w:i/>
          <w:iCs/>
          <w:sz w:val="24"/>
          <w:szCs w:val="24"/>
          <w:u w:val="none"/>
        </w:rPr>
        <w:t xml:space="preserve">（可附货物清单）</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1.2.1 货物名称、品牌、规格型号等：                              ；</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1.2.2 货物数量：                                                ；</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1.2.3 货物质量：　　　　　　　　　                      　      ；</w:t>
      </w:r>
      <w:r/>
    </w:p>
    <w:p>
      <w:pPr>
        <w:ind w:firstLine="480"/>
        <w:spacing w:line="360" w:lineRule="auto"/>
        <w:rPr>
          <w:rFonts w:ascii="宋体" w:hAnsi="宋体" w:cs="宋体"/>
          <w:i/>
          <w:iCs/>
          <w:sz w:val="24"/>
          <w:szCs w:val="24"/>
          <w:u w:val="none"/>
        </w:rPr>
      </w:pPr>
      <w:r>
        <w:rPr>
          <w:rFonts w:hint="eastAsia" w:ascii="宋体" w:hAnsi="宋体"/>
          <w:i/>
          <w:iCs/>
          <w:sz w:val="24"/>
          <w:szCs w:val="24"/>
          <w:u w:val="none"/>
        </w:rPr>
        <w:t xml:space="preserve">1.</w:t>
      </w:r>
      <w:r>
        <w:rPr>
          <w:rFonts w:ascii="宋体" w:hAnsi="宋体"/>
          <w:i/>
          <w:iCs/>
          <w:sz w:val="24"/>
          <w:szCs w:val="24"/>
          <w:u w:val="none"/>
        </w:rPr>
        <w:t xml:space="preserve">2.4</w:t>
      </w:r>
      <w:r>
        <w:rPr>
          <w:rFonts w:hint="eastAsia" w:ascii="宋体" w:hAnsi="宋体"/>
          <w:i/>
          <w:iCs/>
          <w:sz w:val="24"/>
          <w:szCs w:val="24"/>
          <w:u w:val="none"/>
        </w:rPr>
        <w:t xml:space="preserve"> 详细货物清单可在合同专用条款中列出</w:t>
      </w:r>
      <w:r/>
    </w:p>
    <w:p>
      <w:pPr>
        <w:ind w:firstLine="482"/>
        <w:spacing w:line="360" w:lineRule="auto"/>
        <w:rPr>
          <w:rFonts w:ascii="宋体" w:hAnsi="宋体" w:cs="宋体"/>
          <w:b/>
          <w:sz w:val="24"/>
          <w:szCs w:val="24"/>
          <w:u w:val="none"/>
        </w:rPr>
        <w:outlineLvl w:val="0"/>
      </w:pPr>
      <w:r/>
      <w:bookmarkStart w:id="221" w:name="_Toc21631"/>
      <w:r/>
      <w:bookmarkStart w:id="222" w:name="_Toc21551"/>
      <w:r/>
      <w:bookmarkStart w:id="223" w:name="_Toc23292"/>
      <w:r>
        <w:rPr>
          <w:rFonts w:hint="eastAsia" w:ascii="宋体" w:hAnsi="宋体" w:cs="宋体"/>
          <w:b/>
          <w:sz w:val="24"/>
          <w:szCs w:val="24"/>
          <w:u w:val="none"/>
        </w:rPr>
        <w:t xml:space="preserve">1.</w:t>
      </w:r>
      <w:r>
        <w:rPr>
          <w:rFonts w:ascii="宋体" w:hAnsi="宋体" w:cs="宋体"/>
          <w:b/>
          <w:sz w:val="24"/>
          <w:szCs w:val="24"/>
          <w:u w:val="none"/>
        </w:rPr>
        <w:t xml:space="preserve">3</w:t>
      </w:r>
      <w:r>
        <w:rPr>
          <w:rFonts w:hint="eastAsia" w:ascii="宋体" w:hAnsi="宋体" w:cs="宋体"/>
          <w:b/>
          <w:sz w:val="24"/>
          <w:szCs w:val="24"/>
          <w:u w:val="none"/>
        </w:rPr>
        <w:t xml:space="preserve"> 服务</w:t>
      </w:r>
      <w:r>
        <w:rPr>
          <w:rFonts w:hint="eastAsia" w:ascii="宋体" w:hAnsi="宋体" w:cs="宋体"/>
          <w:b/>
          <w:i/>
          <w:iCs/>
          <w:sz w:val="24"/>
          <w:szCs w:val="24"/>
          <w:u w:val="none"/>
        </w:rPr>
        <w:t xml:space="preserve">（可附服务清单）</w:t>
      </w:r>
      <w:r/>
    </w:p>
    <w:p>
      <w:pPr>
        <w:ind w:firstLine="480"/>
        <w:spacing w:line="360" w:lineRule="auto"/>
        <w:rPr>
          <w:rFonts w:ascii="宋体" w:hAnsi="宋体"/>
          <w:sz w:val="24"/>
          <w:szCs w:val="24"/>
          <w:u w:val="none"/>
        </w:rPr>
      </w:pPr>
      <w:r>
        <w:rPr>
          <w:rFonts w:ascii="宋体" w:hAnsi="宋体"/>
          <w:sz w:val="24"/>
          <w:szCs w:val="24"/>
          <w:u w:val="none"/>
        </w:rPr>
        <w:t xml:space="preserve">1.3.1 </w:t>
      </w:r>
      <w:r>
        <w:rPr>
          <w:rFonts w:hint="eastAsia" w:ascii="宋体" w:hAnsi="宋体"/>
          <w:sz w:val="24"/>
          <w:szCs w:val="24"/>
          <w:u w:val="none"/>
        </w:rPr>
        <w:t xml:space="preserve">服务内容</w:t>
      </w:r>
      <w:r>
        <w:rPr>
          <w:rFonts w:ascii="宋体" w:hAnsi="宋体"/>
          <w:sz w:val="24"/>
          <w:szCs w:val="24"/>
          <w:u w:val="none"/>
        </w:rPr>
        <w:t xml:space="preserve">：                      </w:t>
      </w:r>
      <w:r>
        <w:rPr>
          <w:rFonts w:hint="eastAsia" w:ascii="宋体" w:hAnsi="宋体"/>
          <w:sz w:val="24"/>
          <w:szCs w:val="24"/>
          <w:u w:val="none"/>
        </w:rPr>
        <w:t xml:space="preserve">        </w:t>
      </w:r>
      <w:r>
        <w:rPr>
          <w:rFonts w:ascii="宋体" w:hAnsi="宋体"/>
          <w:sz w:val="24"/>
          <w:szCs w:val="24"/>
          <w:u w:val="none"/>
        </w:rPr>
        <w:t xml:space="preserve">                  </w:t>
      </w:r>
      <w:r>
        <w:rPr>
          <w:rFonts w:hint="eastAsia" w:ascii="宋体" w:hAnsi="宋体"/>
          <w:sz w:val="24"/>
          <w:szCs w:val="24"/>
          <w:u w:val="none"/>
        </w:rPr>
        <w:t xml:space="preserve">；</w:t>
      </w:r>
      <w:r/>
    </w:p>
    <w:p>
      <w:pPr>
        <w:ind w:firstLine="480"/>
        <w:spacing w:line="360" w:lineRule="auto"/>
        <w:rPr>
          <w:rFonts w:ascii="宋体" w:hAnsi="宋体"/>
          <w:sz w:val="24"/>
          <w:szCs w:val="24"/>
          <w:u w:val="none"/>
        </w:rPr>
      </w:pPr>
      <w:r>
        <w:rPr>
          <w:rFonts w:ascii="宋体" w:hAnsi="宋体"/>
          <w:sz w:val="24"/>
          <w:szCs w:val="24"/>
          <w:u w:val="none"/>
        </w:rPr>
        <w:t xml:space="preserve">1.3.2 </w:t>
      </w:r>
      <w:r>
        <w:rPr>
          <w:rFonts w:hint="eastAsia" w:ascii="宋体" w:hAnsi="宋体"/>
          <w:sz w:val="24"/>
          <w:szCs w:val="24"/>
          <w:u w:val="none"/>
        </w:rPr>
        <w:t xml:space="preserve">服务标准</w:t>
      </w:r>
      <w:r>
        <w:rPr>
          <w:rFonts w:ascii="宋体" w:hAnsi="宋体"/>
          <w:sz w:val="24"/>
          <w:szCs w:val="24"/>
          <w:u w:val="none"/>
        </w:rPr>
        <w:t xml:space="preserve">：                                                </w:t>
      </w:r>
      <w:r>
        <w:rPr>
          <w:rFonts w:hint="eastAsia" w:ascii="宋体" w:hAnsi="宋体"/>
          <w:sz w:val="24"/>
          <w:szCs w:val="24"/>
          <w:u w:val="none"/>
        </w:rPr>
        <w:t xml:space="preserve">；</w:t>
      </w:r>
      <w:r/>
    </w:p>
    <w:p>
      <w:pPr>
        <w:ind w:firstLine="480"/>
        <w:spacing w:line="360" w:lineRule="auto"/>
        <w:rPr>
          <w:rFonts w:ascii="宋体" w:hAnsi="宋体"/>
          <w:sz w:val="24"/>
          <w:szCs w:val="24"/>
          <w:u w:val="none"/>
        </w:rPr>
      </w:pPr>
      <w:r>
        <w:rPr>
          <w:rFonts w:ascii="宋体" w:hAnsi="宋体"/>
          <w:sz w:val="24"/>
          <w:szCs w:val="24"/>
          <w:u w:val="none"/>
        </w:rPr>
        <w:t xml:space="preserve">1.3.3 </w:t>
      </w:r>
      <w:r>
        <w:rPr>
          <w:rFonts w:hint="eastAsia" w:ascii="宋体" w:hAnsi="宋体"/>
          <w:sz w:val="24"/>
          <w:szCs w:val="24"/>
          <w:u w:val="none"/>
        </w:rPr>
        <w:t xml:space="preserve">技术保障：</w:t>
      </w:r>
      <w:r>
        <w:rPr>
          <w:rFonts w:ascii="宋体" w:hAnsi="宋体"/>
          <w:sz w:val="24"/>
          <w:szCs w:val="24"/>
          <w:u w:val="none"/>
        </w:rPr>
        <w:t xml:space="preserve">　　　　　　　　　                      　      </w:t>
      </w:r>
      <w:r>
        <w:rPr>
          <w:rFonts w:hint="eastAsia" w:ascii="宋体" w:hAnsi="宋体"/>
          <w:sz w:val="24"/>
          <w:szCs w:val="24"/>
          <w:u w:val="none"/>
        </w:rPr>
        <w:t xml:space="preserve">；</w:t>
      </w:r>
      <w:r/>
    </w:p>
    <w:p>
      <w:pPr>
        <w:ind w:firstLine="480"/>
        <w:jc w:val="left"/>
        <w:spacing w:line="360" w:lineRule="auto"/>
        <w:rPr>
          <w:rFonts w:ascii="宋体" w:hAnsi="宋体"/>
          <w:sz w:val="24"/>
          <w:szCs w:val="24"/>
          <w:u w:val="none"/>
        </w:rPr>
      </w:pPr>
      <w:r>
        <w:rPr>
          <w:rFonts w:hint="eastAsia" w:ascii="宋体" w:hAnsi="宋体"/>
          <w:sz w:val="24"/>
          <w:szCs w:val="24"/>
          <w:u w:val="none"/>
        </w:rPr>
        <w:t xml:space="preserve">1.</w:t>
      </w:r>
      <w:r>
        <w:rPr>
          <w:rFonts w:ascii="宋体" w:hAnsi="宋体"/>
          <w:sz w:val="24"/>
          <w:szCs w:val="24"/>
          <w:u w:val="none"/>
        </w:rPr>
        <w:t xml:space="preserve">3</w:t>
      </w:r>
      <w:r>
        <w:rPr>
          <w:rFonts w:hint="eastAsia" w:ascii="宋体" w:hAnsi="宋体"/>
          <w:sz w:val="24"/>
          <w:szCs w:val="24"/>
          <w:u w:val="none"/>
        </w:rPr>
        <w:t xml:space="preserve">.4 服务人员组成：</w:t>
      </w:r>
      <w:r>
        <w:rPr>
          <w:rFonts w:ascii="宋体" w:hAnsi="宋体"/>
          <w:sz w:val="24"/>
          <w:szCs w:val="24"/>
          <w:u w:val="none"/>
        </w:rPr>
        <w:t xml:space="preserve">　　             　      </w:t>
      </w:r>
      <w:r>
        <w:rPr>
          <w:rFonts w:hint="eastAsia" w:ascii="宋体" w:hAnsi="宋体"/>
          <w:sz w:val="24"/>
          <w:szCs w:val="24"/>
          <w:u w:val="none"/>
        </w:rPr>
        <w:t xml:space="preserve">；</w:t>
      </w:r>
      <w:r>
        <w:rPr>
          <w:rFonts w:hint="eastAsia" w:ascii="宋体" w:hAnsi="宋体"/>
          <w:i/>
          <w:iCs/>
          <w:sz w:val="24"/>
          <w:szCs w:val="24"/>
          <w:u w:val="none"/>
        </w:rPr>
        <w:t xml:space="preserve">（投标文件中按要求提供了服务人员姓名的，需填写具体服务人员姓名作为履约验收条件）</w:t>
      </w:r>
      <w:r/>
    </w:p>
    <w:p>
      <w:pPr>
        <w:ind w:firstLine="480"/>
        <w:jc w:val="left"/>
        <w:spacing w:line="360" w:lineRule="auto"/>
        <w:rPr>
          <w:rFonts w:ascii="宋体" w:hAnsi="宋体"/>
          <w:i/>
          <w:iCs/>
          <w:sz w:val="24"/>
          <w:szCs w:val="24"/>
          <w:u w:val="none"/>
        </w:rPr>
      </w:pPr>
      <w:r/>
      <w:bookmarkStart w:id="224" w:name="_Hlk134193344"/>
      <w:r>
        <w:rPr>
          <w:rFonts w:hint="eastAsia" w:ascii="宋体" w:hAnsi="宋体"/>
          <w:i/>
          <w:iCs/>
          <w:sz w:val="24"/>
          <w:szCs w:val="24"/>
          <w:u w:val="none"/>
        </w:rPr>
        <w:t xml:space="preserve">提醒：详细服务要求可在合同专用条</w:t>
      </w:r>
      <w:bookmarkEnd w:id="224"/>
      <w:r>
        <w:rPr>
          <w:rFonts w:hint="eastAsia" w:ascii="宋体" w:hAnsi="宋体"/>
          <w:i/>
          <w:iCs/>
          <w:sz w:val="24"/>
          <w:szCs w:val="24"/>
          <w:u w:val="none"/>
        </w:rPr>
        <w:t xml:space="preserve">款中列出</w:t>
      </w:r>
      <w:r/>
    </w:p>
    <w:p>
      <w:pPr>
        <w:ind w:firstLine="482"/>
        <w:spacing w:line="360" w:lineRule="auto"/>
        <w:rPr>
          <w:rFonts w:ascii="宋体" w:hAnsi="宋体" w:cs="宋体"/>
          <w:b/>
          <w:sz w:val="24"/>
          <w:szCs w:val="24"/>
          <w:u w:val="none"/>
        </w:rPr>
        <w:outlineLvl w:val="0"/>
      </w:pPr>
      <w:r>
        <w:rPr>
          <w:rFonts w:hint="eastAsia" w:ascii="宋体" w:hAnsi="宋体" w:cs="宋体"/>
          <w:b/>
          <w:sz w:val="24"/>
          <w:szCs w:val="24"/>
          <w:u w:val="none"/>
        </w:rPr>
        <w:t xml:space="preserve">1.</w:t>
      </w:r>
      <w:r>
        <w:rPr>
          <w:rFonts w:ascii="宋体" w:hAnsi="宋体" w:cs="宋体"/>
          <w:b/>
          <w:sz w:val="24"/>
          <w:szCs w:val="24"/>
          <w:u w:val="none"/>
        </w:rPr>
        <w:t xml:space="preserve">4</w:t>
      </w:r>
      <w:r>
        <w:rPr>
          <w:rFonts w:hint="eastAsia" w:ascii="宋体" w:hAnsi="宋体" w:cs="宋体"/>
          <w:b/>
          <w:sz w:val="24"/>
          <w:szCs w:val="24"/>
          <w:u w:val="none"/>
        </w:rPr>
        <w:t xml:space="preserve"> </w:t>
      </w:r>
      <w:bookmarkEnd w:id="221"/>
      <w:r/>
      <w:bookmarkEnd w:id="222"/>
      <w:r/>
      <w:bookmarkEnd w:id="223"/>
      <w:r>
        <w:rPr>
          <w:rFonts w:hint="eastAsia" w:ascii="宋体" w:hAnsi="宋体" w:cs="宋体"/>
          <w:b/>
          <w:sz w:val="24"/>
          <w:szCs w:val="24"/>
          <w:u w:val="none"/>
        </w:rPr>
        <w:t xml:space="preserve">合同金额</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      合同的计价方式计价。</w:t>
      </w:r>
      <w:r/>
    </w:p>
    <w:p>
      <w:pPr>
        <w:ind w:firstLine="480"/>
        <w:spacing w:line="360" w:lineRule="auto"/>
        <w:rPr>
          <w:rFonts w:ascii="宋体" w:hAnsi="宋体" w:cs="宋体"/>
          <w:sz w:val="24"/>
          <w:szCs w:val="24"/>
          <w:u w:val="none"/>
        </w:rPr>
      </w:pPr>
      <w:r>
        <w:rPr>
          <w:rFonts w:hint="eastAsia" w:ascii="宋体" w:hAnsi="宋体"/>
          <w:sz w:val="24"/>
          <w:szCs w:val="24"/>
          <w:u w:val="none"/>
        </w:rPr>
        <w:t xml:space="preserve">1.</w:t>
      </w:r>
      <w:r>
        <w:rPr>
          <w:rFonts w:ascii="宋体" w:hAnsi="宋体"/>
          <w:sz w:val="24"/>
          <w:szCs w:val="24"/>
          <w:u w:val="none"/>
        </w:rPr>
        <w:t xml:space="preserve">4</w:t>
      </w:r>
      <w:r>
        <w:rPr>
          <w:rFonts w:hint="eastAsia" w:ascii="宋体" w:hAnsi="宋体"/>
          <w:sz w:val="24"/>
          <w:szCs w:val="24"/>
          <w:u w:val="none"/>
        </w:rPr>
        <w:t xml:space="preserve">.1总价合同。</w:t>
      </w:r>
      <w:r>
        <w:rPr>
          <w:rFonts w:hint="eastAsia" w:ascii="宋体" w:hAnsi="宋体" w:cs="宋体"/>
          <w:sz w:val="24"/>
          <w:szCs w:val="24"/>
          <w:u w:val="none"/>
        </w:rPr>
        <w:t xml:space="preserve">本合同总价（含税）为：￥           元（大写：    元人民币）。</w:t>
      </w:r>
      <w:r/>
    </w:p>
    <w:p>
      <w:pPr>
        <w:ind w:firstLine="480"/>
        <w:spacing w:line="360" w:lineRule="auto"/>
        <w:rPr>
          <w:rFonts w:ascii="宋体" w:hAnsi="宋体"/>
          <w:sz w:val="24"/>
          <w:szCs w:val="24"/>
          <w:u w:val="none"/>
        </w:rPr>
      </w:pPr>
      <w:r/>
      <w:bookmarkStart w:id="225" w:name="_Hlk134193576"/>
      <w:r/>
      <w:bookmarkStart w:id="226" w:name="_Toc30506"/>
      <w:r/>
      <w:bookmarkStart w:id="227" w:name="_Toc3654"/>
      <w:r/>
      <w:bookmarkStart w:id="228" w:name="_Toc26916"/>
      <w:r/>
      <w:bookmarkStart w:id="229" w:name="_Toc14993"/>
      <w:r/>
      <w:bookmarkStart w:id="230" w:name="_Toc30158"/>
      <w:r/>
      <w:bookmarkStart w:id="231" w:name="_Toc10340"/>
      <w:r/>
      <w:bookmarkStart w:id="232" w:name="_Toc22618"/>
      <w:r/>
      <w:bookmarkStart w:id="233" w:name="_Toc1814"/>
      <w:r>
        <w:rPr>
          <w:rFonts w:hint="eastAsia" w:ascii="宋体" w:hAnsi="宋体"/>
          <w:bCs/>
          <w:sz w:val="24"/>
          <w:szCs w:val="24"/>
          <w:u w:val="none"/>
        </w:rPr>
        <w:t xml:space="preserve">1.</w:t>
      </w:r>
      <w:r>
        <w:rPr>
          <w:rFonts w:ascii="宋体" w:hAnsi="宋体"/>
          <w:bCs/>
          <w:sz w:val="24"/>
          <w:szCs w:val="24"/>
          <w:u w:val="none"/>
        </w:rPr>
        <w:t xml:space="preserve">4</w:t>
      </w:r>
      <w:r>
        <w:rPr>
          <w:rFonts w:hint="eastAsia" w:ascii="宋体" w:hAnsi="宋体"/>
          <w:bCs/>
          <w:sz w:val="24"/>
          <w:szCs w:val="24"/>
          <w:u w:val="none"/>
        </w:rPr>
        <w:t xml:space="preserve">.2</w:t>
      </w:r>
      <w:bookmarkEnd w:id="225"/>
      <w:r>
        <w:rPr>
          <w:rFonts w:hint="eastAsia" w:ascii="宋体" w:hAnsi="宋体"/>
          <w:bCs/>
          <w:sz w:val="24"/>
          <w:szCs w:val="24"/>
          <w:u w:val="none"/>
        </w:rPr>
        <w:t xml:space="preserve">单价合同，本合同单价（含税）标准为：                   </w:t>
      </w:r>
      <w:r>
        <w:rPr>
          <w:rFonts w:ascii="宋体" w:hAnsi="宋体"/>
          <w:sz w:val="24"/>
          <w:szCs w:val="24"/>
          <w:u w:val="none"/>
        </w:rPr>
        <w:t xml:space="preserve">。</w:t>
      </w:r>
      <w:r>
        <w:rPr>
          <w:rFonts w:hint="eastAsia" w:ascii="宋体" w:hAnsi="宋体"/>
          <w:sz w:val="24"/>
          <w:szCs w:val="24"/>
          <w:u w:val="none"/>
        </w:rPr>
        <w:t xml:space="preserve">计量方式为：</w:t>
      </w:r>
      <w:r>
        <w:rPr>
          <w:rFonts w:hint="eastAsia" w:ascii="宋体" w:hAnsi="宋体"/>
          <w:bCs/>
          <w:sz w:val="24"/>
          <w:szCs w:val="24"/>
          <w:u w:val="none"/>
        </w:rPr>
        <w:t xml:space="preserve">       </w:t>
      </w:r>
      <w:r>
        <w:rPr>
          <w:rFonts w:hint="eastAsia" w:ascii="宋体" w:hAnsi="宋体" w:cs="宋体"/>
          <w:b/>
          <w:iCs/>
          <w:sz w:val="24"/>
          <w:szCs w:val="24"/>
          <w:u w:val="none"/>
        </w:rPr>
        <w:t xml:space="preserve">合同专用条款</w:t>
      </w:r>
      <w:r>
        <w:rPr>
          <w:rFonts w:hint="eastAsia" w:ascii="宋体" w:hAnsi="宋体"/>
          <w:bCs/>
          <w:iCs/>
          <w:sz w:val="24"/>
          <w:szCs w:val="24"/>
          <w:u w:val="none"/>
        </w:rPr>
        <w:t xml:space="preserve"> 1.</w:t>
      </w:r>
      <w:r>
        <w:rPr>
          <w:rFonts w:ascii="宋体" w:hAnsi="宋体"/>
          <w:bCs/>
          <w:iCs/>
          <w:sz w:val="24"/>
          <w:szCs w:val="24"/>
          <w:u w:val="none"/>
        </w:rPr>
        <w:t xml:space="preserve">4</w:t>
      </w:r>
      <w:r>
        <w:rPr>
          <w:rFonts w:hint="eastAsia" w:ascii="宋体" w:hAnsi="宋体"/>
          <w:bCs/>
          <w:iCs/>
          <w:sz w:val="24"/>
          <w:szCs w:val="24"/>
          <w:u w:val="none"/>
        </w:rPr>
        <w:t xml:space="preserve">.2</w:t>
      </w:r>
      <w:r>
        <w:rPr>
          <w:rFonts w:hint="eastAsia" w:ascii="宋体" w:hAnsi="宋体"/>
          <w:bCs/>
          <w:sz w:val="24"/>
          <w:szCs w:val="24"/>
          <w:u w:val="none"/>
        </w:rPr>
        <w:t xml:space="preserve">    </w:t>
      </w:r>
      <w:r>
        <w:rPr>
          <w:rFonts w:ascii="宋体" w:hAnsi="宋体"/>
          <w:sz w:val="24"/>
          <w:szCs w:val="24"/>
          <w:u w:val="none"/>
        </w:rPr>
        <w:t xml:space="preserve">。</w:t>
      </w:r>
      <w:r>
        <w:rPr>
          <w:rFonts w:hint="eastAsia" w:ascii="宋体" w:hAnsi="宋体"/>
          <w:sz w:val="24"/>
          <w:szCs w:val="24"/>
          <w:u w:val="none"/>
        </w:rPr>
        <w:t xml:space="preserve">单价合同，在合同履行期间内，根据实际完成的工作量据实结算，但结算总价上限不得超过预算金额或者双方确定的金额￥</w:t>
      </w:r>
      <w:r>
        <w:rPr>
          <w:rFonts w:ascii="宋体" w:hAnsi="宋体"/>
          <w:sz w:val="24"/>
          <w:szCs w:val="24"/>
          <w:u w:val="none"/>
        </w:rPr>
        <w:t xml:space="preserve">           元</w:t>
      </w:r>
      <w:r>
        <w:rPr>
          <w:rFonts w:hint="eastAsia" w:ascii="宋体" w:hAnsi="宋体"/>
          <w:sz w:val="24"/>
          <w:szCs w:val="24"/>
          <w:u w:val="none"/>
        </w:rPr>
        <w:t xml:space="preserve">（大写：</w:t>
      </w:r>
      <w:r>
        <w:rPr>
          <w:rFonts w:ascii="宋体" w:hAnsi="宋体"/>
          <w:sz w:val="24"/>
          <w:szCs w:val="24"/>
          <w:u w:val="none"/>
        </w:rPr>
        <w:t xml:space="preserve">                 </w:t>
      </w:r>
      <w:r>
        <w:rPr>
          <w:rFonts w:hint="eastAsia" w:ascii="宋体" w:hAnsi="宋体"/>
          <w:sz w:val="24"/>
          <w:szCs w:val="24"/>
          <w:u w:val="none"/>
        </w:rPr>
        <w:t xml:space="preserve">元人民币）。</w:t>
      </w:r>
      <w:r/>
    </w:p>
    <w:p>
      <w:pPr>
        <w:ind w:firstLine="480"/>
        <w:spacing w:line="360" w:lineRule="auto"/>
        <w:rPr>
          <w:rFonts w:ascii="宋体" w:hAnsi="宋体"/>
          <w:sz w:val="24"/>
          <w:szCs w:val="24"/>
          <w:u w:val="none"/>
        </w:rPr>
      </w:pPr>
      <w:r>
        <w:rPr>
          <w:rFonts w:hint="eastAsia" w:ascii="宋体" w:hAnsi="宋体"/>
          <w:sz w:val="24"/>
          <w:szCs w:val="24"/>
          <w:u w:val="none"/>
        </w:rPr>
        <w:t xml:space="preserve"> </w:t>
      </w:r>
      <w:r>
        <w:rPr>
          <w:rFonts w:hint="eastAsia" w:ascii="宋体" w:hAnsi="宋体" w:cs="宋体"/>
          <w:sz w:val="24"/>
          <w:szCs w:val="24"/>
          <w:u w:val="none"/>
        </w:rPr>
        <w:t xml:space="preserve">1.</w:t>
      </w:r>
      <w:r>
        <w:rPr>
          <w:rFonts w:ascii="宋体" w:hAnsi="宋体" w:cs="宋体"/>
          <w:sz w:val="24"/>
          <w:szCs w:val="24"/>
          <w:u w:val="none"/>
        </w:rPr>
        <w:t xml:space="preserve">4</w:t>
      </w:r>
      <w:r>
        <w:rPr>
          <w:rFonts w:hint="eastAsia" w:ascii="宋体" w:hAnsi="宋体" w:cs="宋体"/>
          <w:sz w:val="24"/>
          <w:szCs w:val="24"/>
          <w:u w:val="none"/>
        </w:rPr>
        <w:t xml:space="preserve">.3其他计价方式：                   。</w:t>
      </w:r>
      <w:bookmarkEnd w:id="226"/>
      <w:r/>
      <w:bookmarkEnd w:id="227"/>
      <w:r/>
      <w:bookmarkEnd w:id="228"/>
      <w:r/>
      <w:bookmarkEnd w:id="229"/>
      <w:r/>
      <w:bookmarkEnd w:id="230"/>
      <w:r/>
      <w:r/>
    </w:p>
    <w:p>
      <w:pPr>
        <w:ind w:firstLine="482"/>
        <w:spacing w:line="360" w:lineRule="auto"/>
        <w:rPr>
          <w:rFonts w:ascii="宋体" w:hAnsi="宋体" w:cs="宋体"/>
          <w:b/>
          <w:sz w:val="24"/>
          <w:szCs w:val="24"/>
          <w:u w:val="none"/>
        </w:rPr>
        <w:outlineLvl w:val="0"/>
      </w:pPr>
      <w:r>
        <w:rPr>
          <w:rFonts w:hint="eastAsia" w:ascii="宋体" w:hAnsi="宋体" w:cs="宋体"/>
          <w:b/>
          <w:sz w:val="24"/>
          <w:szCs w:val="24"/>
          <w:u w:val="none"/>
        </w:rPr>
        <w:t xml:space="preserve">1.</w:t>
      </w:r>
      <w:r>
        <w:rPr>
          <w:rFonts w:ascii="宋体" w:hAnsi="宋体" w:cs="宋体"/>
          <w:b/>
          <w:sz w:val="24"/>
          <w:szCs w:val="24"/>
          <w:u w:val="none"/>
        </w:rPr>
        <w:t xml:space="preserve">5</w:t>
      </w:r>
      <w:r>
        <w:rPr>
          <w:rFonts w:hint="eastAsia" w:ascii="宋体" w:hAnsi="宋体" w:cs="宋体"/>
          <w:b/>
          <w:sz w:val="24"/>
          <w:szCs w:val="24"/>
          <w:u w:val="none"/>
        </w:rPr>
        <w:t xml:space="preserve">履约保证金</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乙方     （是 /否）需要支付履约保证金。若需要支付履约保证金的，则：</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5</w:t>
      </w:r>
      <w:r>
        <w:rPr>
          <w:rFonts w:hint="eastAsia" w:ascii="宋体" w:hAnsi="宋体" w:cs="宋体"/>
          <w:sz w:val="24"/>
          <w:szCs w:val="24"/>
          <w:u w:val="none"/>
        </w:rPr>
        <w:t xml:space="preserve">.1履约保证金的比例为合同金额的     %；（提醒：履约保证金的比例不得超过合同金额的1</w:t>
      </w:r>
      <w:r>
        <w:rPr>
          <w:rFonts w:ascii="宋体" w:hAnsi="宋体" w:cs="宋体"/>
          <w:sz w:val="24"/>
          <w:szCs w:val="24"/>
          <w:u w:val="none"/>
        </w:rPr>
        <w:t xml:space="preserve">0</w:t>
      </w:r>
      <w:r>
        <w:rPr>
          <w:rFonts w:hint="eastAsia" w:ascii="宋体" w:hAnsi="宋体" w:cs="宋体"/>
          <w:sz w:val="24"/>
          <w:szCs w:val="24"/>
          <w:u w:val="none"/>
        </w:rPr>
        <w:t xml:space="preserve">%）</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5</w:t>
      </w:r>
      <w:r>
        <w:rPr>
          <w:rFonts w:hint="eastAsia" w:ascii="宋体" w:hAnsi="宋体" w:cs="宋体"/>
          <w:sz w:val="24"/>
          <w:szCs w:val="24"/>
          <w:u w:val="none"/>
        </w:rPr>
        <w:t xml:space="preserve">.2履约保证金支付方式详见</w:t>
      </w:r>
      <w:r>
        <w:rPr>
          <w:rFonts w:hint="eastAsia" w:ascii="宋体" w:hAnsi="宋体" w:cs="宋体"/>
          <w:b/>
          <w:sz w:val="24"/>
          <w:szCs w:val="24"/>
          <w:u w:val="none"/>
        </w:rPr>
        <w:t xml:space="preserve">    合同专用条款 </w:t>
      </w:r>
      <w:r>
        <w:rPr>
          <w:rFonts w:ascii="宋体" w:hAnsi="宋体" w:cs="宋体"/>
          <w:b/>
          <w:sz w:val="24"/>
          <w:szCs w:val="24"/>
          <w:u w:val="none"/>
        </w:rPr>
        <w:t xml:space="preserve">1.5.2</w:t>
      </w:r>
      <w:r>
        <w:rPr>
          <w:rFonts w:hint="eastAsia" w:ascii="宋体" w:hAnsi="宋体" w:cs="宋体"/>
          <w:b/>
          <w:sz w:val="24"/>
          <w:szCs w:val="24"/>
          <w:u w:val="none"/>
        </w:rPr>
        <w:t xml:space="preserve">          </w:t>
      </w:r>
      <w:r>
        <w:rPr>
          <w:rFonts w:hint="eastAsia" w:ascii="宋体" w:hAnsi="宋体" w:cs="宋体"/>
          <w:sz w:val="24"/>
          <w:szCs w:val="24"/>
          <w:u w:val="none"/>
        </w:rPr>
        <w:t xml:space="preserve">；</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5</w:t>
      </w:r>
      <w:r>
        <w:rPr>
          <w:rFonts w:hint="eastAsia" w:ascii="宋体" w:hAnsi="宋体" w:cs="宋体"/>
          <w:sz w:val="24"/>
          <w:szCs w:val="24"/>
          <w:u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szCs w:val="24"/>
          <w:u w:val="none"/>
        </w:rPr>
        <w:outlineLvl w:val="0"/>
      </w:pPr>
      <w:r>
        <w:rPr>
          <w:rFonts w:hint="eastAsia" w:ascii="宋体" w:hAnsi="宋体" w:cs="宋体"/>
          <w:sz w:val="24"/>
          <w:szCs w:val="24"/>
          <w:u w:val="none"/>
        </w:rPr>
        <w:t xml:space="preserve">1.</w:t>
      </w:r>
      <w:r>
        <w:rPr>
          <w:rFonts w:ascii="宋体" w:hAnsi="宋体" w:cs="宋体"/>
          <w:sz w:val="24"/>
          <w:szCs w:val="24"/>
          <w:u w:val="none"/>
        </w:rPr>
        <w:t xml:space="preserve">5</w:t>
      </w:r>
      <w:r>
        <w:rPr>
          <w:rFonts w:hint="eastAsia" w:ascii="宋体" w:hAnsi="宋体" w:cs="宋体"/>
          <w:sz w:val="24"/>
          <w:szCs w:val="24"/>
          <w:u w:val="none"/>
        </w:rPr>
        <w:t xml:space="preserve">.4 甲方在项目验收结束后及时退还履约保证金。甲方在项目通过验收之日起 </w:t>
      </w:r>
      <w:r>
        <w:rPr>
          <w:rFonts w:ascii="宋体" w:hAnsi="宋体" w:cs="宋体"/>
          <w:sz w:val="24"/>
          <w:szCs w:val="24"/>
          <w:u w:val="none"/>
        </w:rPr>
        <w:t xml:space="preserve">5</w:t>
      </w:r>
      <w:r>
        <w:rPr>
          <w:rFonts w:hint="eastAsia" w:ascii="宋体" w:hAnsi="宋体" w:cs="宋体"/>
          <w:sz w:val="24"/>
          <w:szCs w:val="24"/>
          <w:u w:val="none"/>
        </w:rPr>
        <w:t xml:space="preserve">个工作日内将履约保证金无息退还乙方（出具保函、保险保单的费用不予退还），逾期退还的，乙方可要求甲方支付违约金，违约金按每迟延退还一日的应退还而未退还金额的  （</w:t>
      </w:r>
      <w:r>
        <w:rPr>
          <w:rFonts w:hint="eastAsia" w:ascii="宋体" w:hAnsi="宋体" w:cs="宋体"/>
          <w:i/>
          <w:iCs/>
          <w:sz w:val="24"/>
          <w:szCs w:val="24"/>
          <w:u w:val="none"/>
        </w:rPr>
        <w:t xml:space="preserve">按同期银行活期存款利息</w:t>
      </w:r>
      <w:r>
        <w:rPr>
          <w:rFonts w:hint="eastAsia" w:ascii="宋体" w:hAnsi="宋体" w:cs="宋体"/>
          <w:sz w:val="24"/>
          <w:szCs w:val="24"/>
          <w:u w:val="none"/>
        </w:rPr>
        <w:t xml:space="preserve">）   %计算，最高限额为本合同履约保证金的  </w:t>
      </w:r>
      <w:r>
        <w:rPr>
          <w:rFonts w:ascii="宋体" w:hAnsi="宋体" w:cs="宋体"/>
          <w:sz w:val="24"/>
          <w:szCs w:val="24"/>
          <w:u w:val="none"/>
        </w:rPr>
        <w:t xml:space="preserve">XX</w:t>
      </w:r>
      <w:r>
        <w:rPr>
          <w:rFonts w:hint="eastAsia" w:ascii="宋体" w:hAnsi="宋体" w:cs="宋体"/>
          <w:sz w:val="24"/>
          <w:szCs w:val="24"/>
          <w:u w:val="none"/>
        </w:rPr>
        <w:t xml:space="preserve">   %。</w:t>
      </w:r>
      <w:r/>
    </w:p>
    <w:p>
      <w:pPr>
        <w:ind w:firstLine="480"/>
        <w:jc w:val="left"/>
        <w:spacing w:line="360" w:lineRule="auto"/>
        <w:widowControl/>
        <w:rPr>
          <w:rFonts w:ascii="宋体" w:hAnsi="宋体" w:cs="宋体"/>
          <w:b/>
          <w:bCs/>
          <w:sz w:val="24"/>
          <w:szCs w:val="24"/>
          <w:u w:val="none"/>
        </w:rPr>
      </w:pPr>
      <w:r>
        <w:rPr>
          <w:rFonts w:hint="eastAsia" w:ascii="宋体" w:hAnsi="宋体" w:cs="宋体"/>
          <w:b/>
          <w:bCs/>
          <w:sz w:val="24"/>
          <w:szCs w:val="24"/>
          <w:u w:val="none"/>
        </w:rPr>
        <w:t xml:space="preserve">1.</w:t>
      </w:r>
      <w:bookmarkEnd w:id="231"/>
      <w:r/>
      <w:bookmarkEnd w:id="232"/>
      <w:r/>
      <w:bookmarkEnd w:id="233"/>
      <w:r>
        <w:rPr>
          <w:rFonts w:ascii="宋体" w:hAnsi="宋体" w:cs="宋体"/>
          <w:b/>
          <w:bCs/>
          <w:sz w:val="24"/>
          <w:szCs w:val="24"/>
          <w:u w:val="none"/>
        </w:rPr>
        <w:t xml:space="preserve">6</w:t>
      </w:r>
      <w:r>
        <w:rPr>
          <w:rFonts w:hint="eastAsia" w:ascii="宋体" w:hAnsi="宋体" w:cs="宋体"/>
          <w:b/>
          <w:bCs/>
          <w:sz w:val="24"/>
          <w:szCs w:val="24"/>
          <w:u w:val="none"/>
        </w:rPr>
        <w:t xml:space="preserve">预付款</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乙方     （需要/不需要）甲方支付预付款。若需要支付预付款的，则：</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6</w:t>
      </w:r>
      <w:r>
        <w:rPr>
          <w:rFonts w:hint="eastAsia" w:ascii="宋体" w:hAnsi="宋体" w:cs="宋体"/>
          <w:sz w:val="24"/>
          <w:szCs w:val="24"/>
          <w:u w:val="none"/>
        </w:rPr>
        <w:t xml:space="preserve">.1预付款比例、支付方式、时间详见</w:t>
      </w:r>
      <w:r>
        <w:rPr>
          <w:rFonts w:hint="eastAsia" w:ascii="宋体" w:hAnsi="宋体" w:cs="宋体"/>
          <w:b/>
          <w:sz w:val="24"/>
          <w:szCs w:val="24"/>
          <w:u w:val="none"/>
        </w:rPr>
        <w:t xml:space="preserve">    合同专用条款</w:t>
      </w:r>
      <w:r>
        <w:rPr>
          <w:rFonts w:ascii="宋体" w:hAnsi="宋体" w:cs="宋体"/>
          <w:b/>
          <w:sz w:val="24"/>
          <w:szCs w:val="24"/>
          <w:u w:val="none"/>
        </w:rPr>
        <w:t xml:space="preserve">1.6.1</w:t>
      </w:r>
      <w:r>
        <w:rPr>
          <w:rFonts w:hint="eastAsia" w:ascii="宋体" w:hAnsi="宋体" w:cs="宋体"/>
          <w:b/>
          <w:sz w:val="24"/>
          <w:szCs w:val="24"/>
          <w:u w:val="none"/>
        </w:rPr>
        <w:t xml:space="preserve">         </w:t>
      </w:r>
      <w:r>
        <w:rPr>
          <w:rFonts w:hint="eastAsia" w:ascii="宋体" w:hAnsi="宋体" w:cs="宋体"/>
          <w:sz w:val="24"/>
          <w:szCs w:val="24"/>
          <w:u w:val="none"/>
        </w:rPr>
        <w:t xml:space="preserve">；</w:t>
      </w:r>
      <w:r/>
    </w:p>
    <w:p>
      <w:pPr>
        <w:ind w:firstLine="480"/>
        <w:jc w:val="left"/>
        <w:spacing w:line="360" w:lineRule="auto"/>
        <w:widowControl/>
        <w:rPr>
          <w:rFonts w:ascii="宋体" w:hAnsi="宋体" w:cs="宋体"/>
          <w:b/>
          <w:bCs/>
          <w:sz w:val="24"/>
          <w:szCs w:val="24"/>
          <w:u w:val="none"/>
        </w:rPr>
      </w:pPr>
      <w:r>
        <w:rPr>
          <w:rFonts w:hint="eastAsia" w:ascii="宋体" w:hAnsi="宋体" w:cs="宋体"/>
          <w:b/>
          <w:bCs/>
          <w:sz w:val="24"/>
          <w:szCs w:val="24"/>
          <w:u w:val="none"/>
        </w:rPr>
        <w:t xml:space="preserve">1.</w:t>
      </w:r>
      <w:r>
        <w:rPr>
          <w:rFonts w:ascii="宋体" w:hAnsi="宋体" w:cs="宋体"/>
          <w:b/>
          <w:bCs/>
          <w:sz w:val="24"/>
          <w:szCs w:val="24"/>
          <w:u w:val="none"/>
        </w:rPr>
        <w:t xml:space="preserve">7</w:t>
      </w:r>
      <w:r>
        <w:rPr>
          <w:rFonts w:hint="eastAsia" w:ascii="宋体" w:hAnsi="宋体" w:cs="宋体"/>
          <w:b/>
          <w:bCs/>
          <w:sz w:val="24"/>
          <w:szCs w:val="24"/>
          <w:u w:val="none"/>
        </w:rPr>
        <w:t xml:space="preserve">资金支付</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7</w:t>
      </w:r>
      <w:r>
        <w:rPr>
          <w:rFonts w:hint="eastAsia" w:ascii="宋体" w:hAnsi="宋体" w:cs="宋体"/>
          <w:sz w:val="24"/>
          <w:szCs w:val="24"/>
          <w:u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7</w:t>
      </w:r>
      <w:r>
        <w:rPr>
          <w:rFonts w:hint="eastAsia" w:ascii="宋体" w:hAnsi="宋体" w:cs="宋体"/>
          <w:sz w:val="24"/>
          <w:szCs w:val="24"/>
          <w:u w:val="none"/>
        </w:rPr>
        <w:t xml:space="preserve">.2资金支付的方式、时间和条件详见</w:t>
      </w:r>
      <w:r>
        <w:rPr>
          <w:rFonts w:hint="eastAsia" w:ascii="宋体" w:hAnsi="宋体" w:cs="宋体"/>
          <w:b/>
          <w:sz w:val="24"/>
          <w:szCs w:val="24"/>
          <w:u w:val="none"/>
        </w:rPr>
        <w:t xml:space="preserve">    合同专用条款1</w:t>
      </w:r>
      <w:r>
        <w:rPr>
          <w:rFonts w:ascii="宋体" w:hAnsi="宋体" w:cs="宋体"/>
          <w:b/>
          <w:sz w:val="24"/>
          <w:szCs w:val="24"/>
          <w:u w:val="none"/>
        </w:rPr>
        <w:t xml:space="preserve">.7.2</w:t>
      </w:r>
      <w:r>
        <w:rPr>
          <w:rFonts w:hint="eastAsia" w:ascii="宋体" w:hAnsi="宋体" w:cs="宋体"/>
          <w:b/>
          <w:sz w:val="24"/>
          <w:szCs w:val="24"/>
          <w:u w:val="none"/>
        </w:rPr>
        <w:t xml:space="preserve">    ；</w:t>
      </w:r>
      <w:r/>
    </w:p>
    <w:p>
      <w:pPr>
        <w:ind w:firstLine="480"/>
        <w:jc w:val="left"/>
        <w:spacing w:line="360" w:lineRule="auto"/>
        <w:widowControl/>
        <w:rPr>
          <w:rFonts w:ascii="宋体" w:hAnsi="宋体" w:cs="宋体"/>
          <w:b/>
          <w:bCs/>
          <w:sz w:val="24"/>
          <w:szCs w:val="24"/>
          <w:u w:val="none"/>
        </w:rPr>
      </w:pPr>
      <w:r/>
      <w:bookmarkStart w:id="234" w:name="_Toc32071"/>
      <w:r/>
      <w:bookmarkStart w:id="235" w:name="_Toc19304"/>
      <w:r/>
      <w:bookmarkStart w:id="236" w:name="_Toc2846"/>
      <w:r>
        <w:rPr>
          <w:rFonts w:hint="eastAsia" w:ascii="宋体" w:hAnsi="宋体" w:cs="宋体"/>
          <w:b/>
          <w:bCs/>
          <w:sz w:val="24"/>
          <w:szCs w:val="24"/>
          <w:u w:val="none"/>
        </w:rPr>
        <w:t xml:space="preserve">1.</w:t>
      </w:r>
      <w:r>
        <w:rPr>
          <w:rFonts w:ascii="宋体" w:hAnsi="宋体" w:cs="宋体"/>
          <w:b/>
          <w:bCs/>
          <w:sz w:val="24"/>
          <w:szCs w:val="24"/>
          <w:u w:val="none"/>
        </w:rPr>
        <w:t xml:space="preserve">8</w:t>
      </w:r>
      <w:r>
        <w:rPr>
          <w:rFonts w:hint="eastAsia" w:ascii="宋体" w:hAnsi="宋体" w:cs="宋体"/>
          <w:b/>
          <w:bCs/>
          <w:sz w:val="24"/>
          <w:szCs w:val="24"/>
          <w:u w:val="none"/>
        </w:rPr>
        <w:t xml:space="preserve">货物（服务）交付期限、地点和方式</w:t>
      </w:r>
      <w:bookmarkEnd w:id="234"/>
      <w:r/>
      <w:bookmarkEnd w:id="235"/>
      <w:r/>
      <w:bookmarkEnd w:id="236"/>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8</w:t>
      </w:r>
      <w:r>
        <w:rPr>
          <w:rFonts w:hint="eastAsia" w:ascii="宋体" w:hAnsi="宋体" w:cs="宋体"/>
          <w:sz w:val="24"/>
          <w:szCs w:val="24"/>
          <w:u w:val="none"/>
        </w:rPr>
        <w:t xml:space="preserve">.1 交付期限：</w:t>
      </w:r>
      <w:bookmarkStart w:id="237" w:name="_Hlk134193824"/>
      <w:r>
        <w:rPr>
          <w:rFonts w:hint="eastAsia" w:ascii="宋体" w:hAnsi="宋体" w:cs="宋体"/>
          <w:b/>
          <w:sz w:val="24"/>
          <w:szCs w:val="24"/>
          <w:u w:val="none"/>
        </w:rPr>
        <w:t xml:space="preserve">详见</w:t>
      </w:r>
      <w:bookmarkEnd w:id="237"/>
      <w:r>
        <w:rPr>
          <w:rFonts w:hint="eastAsia" w:ascii="宋体" w:hAnsi="宋体" w:cs="宋体"/>
          <w:b/>
          <w:sz w:val="24"/>
          <w:szCs w:val="24"/>
          <w:u w:val="none"/>
        </w:rPr>
        <w:t xml:space="preserve">合同专用条款1</w:t>
      </w:r>
      <w:r>
        <w:rPr>
          <w:rFonts w:ascii="宋体" w:hAnsi="宋体" w:cs="宋体"/>
          <w:b/>
          <w:sz w:val="24"/>
          <w:szCs w:val="24"/>
          <w:u w:val="none"/>
        </w:rPr>
        <w:t xml:space="preserve">.8.1</w:t>
      </w:r>
      <w:r>
        <w:rPr>
          <w:rFonts w:hint="eastAsia" w:ascii="宋体" w:hAnsi="宋体" w:cs="宋体"/>
          <w:sz w:val="24"/>
          <w:szCs w:val="24"/>
          <w:u w:val="none"/>
        </w:rPr>
        <w:t xml:space="preserve">；</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8</w:t>
      </w:r>
      <w:r>
        <w:rPr>
          <w:rFonts w:hint="eastAsia" w:ascii="宋体" w:hAnsi="宋体" w:cs="宋体"/>
          <w:sz w:val="24"/>
          <w:szCs w:val="24"/>
          <w:u w:val="none"/>
        </w:rPr>
        <w:t xml:space="preserve">.2 交付地点：</w:t>
      </w:r>
      <w:r>
        <w:rPr>
          <w:rFonts w:hint="eastAsia" w:ascii="宋体" w:hAnsi="宋体" w:cs="宋体"/>
          <w:b/>
          <w:sz w:val="24"/>
          <w:szCs w:val="24"/>
          <w:u w:val="none"/>
        </w:rPr>
        <w:t xml:space="preserve">详见合同专用条款1</w:t>
      </w:r>
      <w:r>
        <w:rPr>
          <w:rFonts w:ascii="宋体" w:hAnsi="宋体" w:cs="宋体"/>
          <w:b/>
          <w:sz w:val="24"/>
          <w:szCs w:val="24"/>
          <w:u w:val="none"/>
        </w:rPr>
        <w:t xml:space="preserve">.8.2</w:t>
      </w:r>
      <w:r>
        <w:rPr>
          <w:rFonts w:hint="eastAsia" w:ascii="宋体" w:hAnsi="宋体" w:cs="宋体"/>
          <w:sz w:val="24"/>
          <w:szCs w:val="24"/>
          <w:u w:val="none"/>
        </w:rPr>
        <w:t xml:space="preserve">；</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8</w:t>
      </w:r>
      <w:r>
        <w:rPr>
          <w:rFonts w:hint="eastAsia" w:ascii="宋体" w:hAnsi="宋体" w:cs="宋体"/>
          <w:sz w:val="24"/>
          <w:szCs w:val="24"/>
          <w:u w:val="none"/>
        </w:rPr>
        <w:t xml:space="preserve">.3 交付方式：</w:t>
      </w:r>
      <w:r>
        <w:rPr>
          <w:rFonts w:hint="eastAsia" w:ascii="宋体" w:hAnsi="宋体" w:cs="宋体"/>
          <w:b/>
          <w:sz w:val="24"/>
          <w:szCs w:val="24"/>
          <w:u w:val="none"/>
        </w:rPr>
        <w:t xml:space="preserve">详见合同专用条款1</w:t>
      </w:r>
      <w:r>
        <w:rPr>
          <w:rFonts w:ascii="宋体" w:hAnsi="宋体" w:cs="宋体"/>
          <w:b/>
          <w:sz w:val="24"/>
          <w:szCs w:val="24"/>
          <w:u w:val="none"/>
        </w:rPr>
        <w:t xml:space="preserve">.8.3</w:t>
      </w:r>
      <w:r>
        <w:rPr>
          <w:rFonts w:hint="eastAsia" w:ascii="宋体" w:hAnsi="宋体" w:cs="宋体"/>
          <w:sz w:val="24"/>
          <w:szCs w:val="24"/>
          <w:u w:val="none"/>
        </w:rPr>
        <w:t xml:space="preserve">；</w:t>
      </w:r>
      <w:r/>
    </w:p>
    <w:p>
      <w:pPr>
        <w:ind w:firstLine="480"/>
        <w:jc w:val="left"/>
        <w:spacing w:line="360" w:lineRule="auto"/>
        <w:widowControl/>
        <w:rPr>
          <w:rFonts w:ascii="宋体" w:hAnsi="宋体" w:cs="宋体"/>
          <w:b/>
          <w:bCs/>
          <w:sz w:val="24"/>
          <w:szCs w:val="24"/>
          <w:u w:val="none"/>
        </w:rPr>
      </w:pPr>
      <w:r/>
      <w:bookmarkStart w:id="238" w:name="_Toc21423"/>
      <w:r/>
      <w:bookmarkStart w:id="239" w:name="_Toc19554"/>
      <w:r/>
      <w:bookmarkStart w:id="240" w:name="_Toc27250"/>
      <w:r>
        <w:rPr>
          <w:rFonts w:hint="eastAsia" w:ascii="宋体" w:hAnsi="宋体" w:cs="宋体"/>
          <w:b/>
          <w:bCs/>
          <w:sz w:val="24"/>
          <w:szCs w:val="24"/>
          <w:u w:val="none"/>
        </w:rPr>
        <w:t xml:space="preserve">1.</w:t>
      </w:r>
      <w:r>
        <w:rPr>
          <w:rFonts w:ascii="宋体" w:hAnsi="宋体" w:cs="宋体"/>
          <w:b/>
          <w:bCs/>
          <w:sz w:val="24"/>
          <w:szCs w:val="24"/>
          <w:u w:val="none"/>
        </w:rPr>
        <w:t xml:space="preserve">9</w:t>
      </w:r>
      <w:r>
        <w:rPr>
          <w:rFonts w:hint="eastAsia" w:ascii="宋体" w:hAnsi="宋体" w:cs="宋体"/>
          <w:b/>
          <w:bCs/>
          <w:sz w:val="24"/>
          <w:szCs w:val="24"/>
          <w:u w:val="none"/>
        </w:rPr>
        <w:t xml:space="preserve">违约责任</w:t>
      </w:r>
      <w:bookmarkEnd w:id="238"/>
      <w:r/>
      <w:bookmarkEnd w:id="239"/>
      <w:r/>
      <w:bookmarkEnd w:id="240"/>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9</w:t>
      </w:r>
      <w:r>
        <w:rPr>
          <w:rFonts w:hint="eastAsia" w:ascii="宋体" w:hAnsi="宋体" w:cs="宋体"/>
          <w:sz w:val="24"/>
          <w:szCs w:val="24"/>
          <w:u w:val="none"/>
        </w:rPr>
        <w:t xml:space="preserve">.1 除不可抗力外，如果乙方没有按照本合同约定的期限、地点和方式交付货物或服务，那么甲方可要求乙方支付违约金，每延迟一日，违约金按合同金额的  </w:t>
      </w:r>
      <w:r>
        <w:rPr>
          <w:rFonts w:ascii="宋体" w:hAnsi="宋体" w:cs="宋体"/>
          <w:sz w:val="24"/>
          <w:szCs w:val="24"/>
          <w:u w:val="none"/>
        </w:rPr>
        <w:t xml:space="preserve">XX</w:t>
      </w:r>
      <w:r>
        <w:rPr>
          <w:rFonts w:hint="eastAsia" w:ascii="宋体" w:hAnsi="宋体" w:cs="宋体"/>
          <w:sz w:val="24"/>
          <w:szCs w:val="24"/>
          <w:u w:val="none"/>
        </w:rPr>
        <w:t xml:space="preserve">（可根据情况修改） %</w:t>
      </w:r>
      <w:r>
        <w:rPr>
          <w:rFonts w:ascii="宋体" w:hAnsi="宋体" w:cs="宋体"/>
          <w:sz w:val="24"/>
          <w:szCs w:val="24"/>
          <w:u w:val="none"/>
        </w:rPr>
        <w:t xml:space="preserve">/</w:t>
      </w:r>
      <w:r>
        <w:rPr>
          <w:rFonts w:hint="eastAsia" w:ascii="宋体" w:hAnsi="宋体" w:cs="宋体"/>
          <w:sz w:val="24"/>
          <w:szCs w:val="24"/>
          <w:u w:val="none"/>
        </w:rPr>
        <w:t xml:space="preserve">计算，最高限额为本合同金额的  </w:t>
      </w:r>
      <w:r>
        <w:rPr>
          <w:rFonts w:ascii="宋体" w:hAnsi="宋体" w:cs="宋体"/>
          <w:sz w:val="24"/>
          <w:szCs w:val="24"/>
          <w:u w:val="none"/>
        </w:rPr>
        <w:t xml:space="preserve">XX</w:t>
      </w:r>
      <w:r>
        <w:rPr>
          <w:rFonts w:hint="eastAsia" w:ascii="宋体" w:hAnsi="宋体" w:cs="宋体"/>
          <w:sz w:val="24"/>
          <w:szCs w:val="24"/>
          <w:u w:val="none"/>
        </w:rPr>
        <w:t xml:space="preserve">  %；迟延交付货物或服务的违约金计算数额达到前述最高限额之日起，甲方有权在要求乙方支付违约金的同时，书面通知乙方解除本合同；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9</w:t>
      </w:r>
      <w:r>
        <w:rPr>
          <w:rFonts w:hint="eastAsia" w:ascii="宋体" w:hAnsi="宋体" w:cs="宋体"/>
          <w:sz w:val="24"/>
          <w:szCs w:val="24"/>
          <w:u w:val="none"/>
        </w:rPr>
        <w:t xml:space="preserve">.2 除不可抗力外，如果甲方没有按照本合同约定的付款方式付款，乙方可要求甲方支付违约金，每延迟一日，违约金按应付而未付款的 </w:t>
      </w:r>
      <w:r>
        <w:rPr>
          <w:rFonts w:ascii="宋体" w:hAnsi="宋体" w:cs="宋体"/>
          <w:sz w:val="24"/>
          <w:szCs w:val="24"/>
          <w:u w:val="none"/>
        </w:rPr>
        <w:t xml:space="preserve">XX</w:t>
      </w:r>
      <w:r>
        <w:rPr>
          <w:rFonts w:hint="eastAsia" w:ascii="宋体" w:hAnsi="宋体" w:cs="宋体"/>
          <w:sz w:val="24"/>
          <w:szCs w:val="24"/>
          <w:u w:val="none"/>
        </w:rPr>
        <w:t xml:space="preserve">（可根据情况修改） %计算，最高限额为本合同总价的   </w:t>
      </w:r>
      <w:r>
        <w:rPr>
          <w:rFonts w:ascii="宋体" w:hAnsi="宋体" w:cs="宋体"/>
          <w:sz w:val="24"/>
          <w:szCs w:val="24"/>
          <w:u w:val="none"/>
        </w:rPr>
        <w:t xml:space="preserve">XX</w:t>
      </w:r>
      <w:r>
        <w:rPr>
          <w:rFonts w:hint="eastAsia" w:ascii="宋体" w:hAnsi="宋体" w:cs="宋体"/>
          <w:sz w:val="24"/>
          <w:szCs w:val="24"/>
          <w:u w:val="none"/>
        </w:rPr>
        <w:t xml:space="preserve">  %；迟延付款的违约金计算数额达到前述最高限额之日起，乙方有权在要求甲方支付违约金的同时，书面通知甲方解除本合同；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9</w:t>
      </w:r>
      <w:r>
        <w:rPr>
          <w:rFonts w:hint="eastAsia" w:ascii="宋体" w:hAnsi="宋体" w:cs="宋体"/>
          <w:sz w:val="24"/>
          <w:szCs w:val="24"/>
          <w:u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9</w:t>
      </w:r>
      <w:r>
        <w:rPr>
          <w:rFonts w:hint="eastAsia" w:ascii="宋体" w:hAnsi="宋体" w:cs="宋体"/>
          <w:sz w:val="24"/>
          <w:szCs w:val="24"/>
          <w:u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9</w:t>
      </w:r>
      <w:r>
        <w:rPr>
          <w:rFonts w:hint="eastAsia" w:ascii="宋体" w:hAnsi="宋体" w:cs="宋体"/>
          <w:sz w:val="24"/>
          <w:szCs w:val="24"/>
          <w:u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9</w:t>
      </w:r>
      <w:r>
        <w:rPr>
          <w:rFonts w:hint="eastAsia" w:ascii="宋体" w:hAnsi="宋体" w:cs="宋体"/>
          <w:sz w:val="24"/>
          <w:szCs w:val="24"/>
          <w:u w:val="none"/>
        </w:rPr>
        <w:t xml:space="preserve">.6违约责任合同专用条款1</w:t>
      </w:r>
      <w:r>
        <w:rPr>
          <w:rFonts w:ascii="宋体" w:hAnsi="宋体" w:cs="宋体"/>
          <w:sz w:val="24"/>
          <w:szCs w:val="24"/>
          <w:u w:val="none"/>
        </w:rPr>
        <w:t xml:space="preserve">.9.6</w:t>
      </w:r>
      <w:r>
        <w:rPr>
          <w:rFonts w:hint="eastAsia" w:ascii="宋体" w:hAnsi="宋体" w:cs="宋体"/>
          <w:sz w:val="24"/>
          <w:szCs w:val="24"/>
          <w:u w:val="none"/>
        </w:rPr>
        <w:t xml:space="preserve">约定其他责任的，从其约定。</w:t>
      </w:r>
      <w:r/>
    </w:p>
    <w:p>
      <w:pPr>
        <w:ind w:firstLine="480"/>
        <w:jc w:val="left"/>
        <w:spacing w:line="360" w:lineRule="auto"/>
        <w:widowControl/>
        <w:rPr>
          <w:rFonts w:ascii="宋体" w:hAnsi="宋体" w:cs="宋体"/>
          <w:b/>
          <w:bCs/>
          <w:sz w:val="24"/>
          <w:szCs w:val="24"/>
          <w:u w:val="none"/>
        </w:rPr>
      </w:pPr>
      <w:r/>
      <w:bookmarkStart w:id="241" w:name="_Toc28375"/>
      <w:r/>
      <w:bookmarkStart w:id="242" w:name="_Toc15583"/>
      <w:r/>
      <w:bookmarkStart w:id="243" w:name="_Toc16021"/>
      <w:r>
        <w:rPr>
          <w:rFonts w:ascii="宋体" w:hAnsi="宋体" w:cs="宋体"/>
          <w:b/>
          <w:bCs/>
          <w:sz w:val="24"/>
          <w:szCs w:val="24"/>
          <w:u w:val="none"/>
        </w:rPr>
        <w:t xml:space="preserve">1.10</w:t>
      </w:r>
      <w:r>
        <w:rPr>
          <w:rFonts w:hint="eastAsia" w:ascii="宋体" w:hAnsi="宋体" w:cs="宋体"/>
          <w:b/>
          <w:bCs/>
          <w:sz w:val="24"/>
          <w:szCs w:val="24"/>
          <w:u w:val="none"/>
        </w:rPr>
        <w:t xml:space="preserve">合同争议的解决</w:t>
      </w:r>
      <w:bookmarkEnd w:id="241"/>
      <w:r/>
      <w:bookmarkEnd w:id="242"/>
      <w:r/>
      <w:bookmarkEnd w:id="243"/>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1.10.1本合同履行过程中发生的任何争议，双方当事人均可通过和解或者调解解决；不愿和解、调解或者和解、调解不成的，向</w:t>
      </w:r>
      <w:r>
        <w:rPr>
          <w:rFonts w:hint="eastAsia" w:ascii="宋体" w:hAnsi="宋体" w:cs="宋体"/>
          <w:b/>
          <w:sz w:val="24"/>
          <w:szCs w:val="24"/>
          <w:u w:val="none"/>
        </w:rPr>
        <w:t xml:space="preserve">甲方所在地</w:t>
      </w:r>
      <w:r>
        <w:rPr>
          <w:rFonts w:hint="eastAsia" w:ascii="宋体" w:hAnsi="宋体" w:cs="宋体"/>
          <w:sz w:val="24"/>
          <w:szCs w:val="24"/>
          <w:u w:val="none"/>
        </w:rPr>
        <w:t xml:space="preserve">人民法院起诉。</w:t>
      </w:r>
      <w:r/>
    </w:p>
    <w:p>
      <w:pPr>
        <w:ind w:firstLine="480"/>
        <w:jc w:val="left"/>
        <w:spacing w:line="360" w:lineRule="auto"/>
        <w:widowControl/>
        <w:rPr>
          <w:rFonts w:ascii="宋体" w:hAnsi="宋体" w:cs="宋体"/>
          <w:sz w:val="24"/>
          <w:szCs w:val="24"/>
          <w:u w:val="none"/>
        </w:rPr>
      </w:pPr>
      <w:r>
        <w:rPr>
          <w:rFonts w:ascii="宋体" w:hAnsi="宋体" w:cs="宋体"/>
          <w:sz w:val="24"/>
          <w:szCs w:val="24"/>
          <w:u w:val="none"/>
        </w:rPr>
        <w:t xml:space="preserve">1</w:t>
      </w:r>
      <w:r>
        <w:rPr>
          <w:rFonts w:hint="eastAsia" w:ascii="宋体" w:hAnsi="宋体" w:cs="宋体"/>
          <w:sz w:val="24"/>
          <w:szCs w:val="24"/>
          <w:u w:val="none"/>
        </w:rPr>
        <w:t xml:space="preserve">.</w:t>
      </w:r>
      <w:r>
        <w:rPr>
          <w:rFonts w:ascii="宋体" w:hAnsi="宋体" w:cs="宋体"/>
          <w:sz w:val="24"/>
          <w:szCs w:val="24"/>
          <w:u w:val="none"/>
        </w:rPr>
        <w:t xml:space="preserve">10</w:t>
      </w:r>
      <w:r>
        <w:rPr>
          <w:rFonts w:hint="eastAsia" w:ascii="宋体" w:hAnsi="宋体" w:cs="宋体"/>
          <w:sz w:val="24"/>
          <w:szCs w:val="24"/>
          <w:u w:val="none"/>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sz w:val="24"/>
          <w:szCs w:val="24"/>
          <w:u w:val="none"/>
        </w:rPr>
      </w:pPr>
      <w:r>
        <w:rPr>
          <w:rFonts w:ascii="宋体" w:hAnsi="宋体" w:cs="宋体"/>
          <w:sz w:val="24"/>
          <w:szCs w:val="24"/>
          <w:u w:val="none"/>
        </w:rPr>
        <w:t xml:space="preserve">1.11</w:t>
      </w:r>
      <w:r>
        <w:rPr>
          <w:rFonts w:hint="eastAsia" w:ascii="宋体" w:hAnsi="宋体" w:cs="宋体"/>
          <w:sz w:val="24"/>
          <w:szCs w:val="24"/>
          <w:u w:val="none"/>
        </w:rPr>
        <w:t xml:space="preserve">合同生效及其他</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1.11.1本合同自双方当事人盖章时生效。</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1.11.2本合同未尽事宜，遵照《中华人民共和国民法典》有关条文执行。 </w:t>
      </w:r>
      <w:r/>
    </w:p>
    <w:p>
      <w:pPr>
        <w:spacing w:line="360" w:lineRule="auto"/>
        <w:rPr>
          <w:rFonts w:ascii="宋体" w:hAnsi="宋体" w:cs="宋体"/>
          <w:b/>
          <w:sz w:val="24"/>
          <w:szCs w:val="24"/>
          <w:u w:val="none"/>
          <w:lang w:val="zh-CN"/>
        </w:rPr>
      </w:pPr>
      <w:r>
        <w:rPr>
          <w:rFonts w:ascii="宋体" w:hAnsi="宋体" w:cs="宋体"/>
          <w:b/>
          <w:sz w:val="24"/>
          <w:szCs w:val="24"/>
          <w:u w:val="none"/>
          <w:lang w:val="zh-CN"/>
        </w:rPr>
      </w:r>
      <w:r/>
    </w:p>
    <w:p>
      <w:pPr>
        <w:spacing w:line="360" w:lineRule="auto"/>
        <w:rPr>
          <w:rFonts w:ascii="宋体" w:hAnsi="宋体" w:cs="宋体"/>
          <w:b/>
          <w:sz w:val="24"/>
          <w:szCs w:val="24"/>
          <w:u w:val="none"/>
          <w:lang w:val="zh-CN"/>
        </w:rPr>
      </w:pPr>
      <w:r>
        <w:rPr>
          <w:rFonts w:ascii="宋体" w:hAnsi="宋体" w:cs="宋体"/>
          <w:b/>
          <w:sz w:val="24"/>
          <w:szCs w:val="24"/>
          <w:u w:val="none"/>
          <w:lang w:val="zh-CN"/>
        </w:rPr>
      </w:r>
      <w:r/>
    </w:p>
    <w:p>
      <w:pPr>
        <w:spacing w:line="480" w:lineRule="auto"/>
        <w:rPr>
          <w:rFonts w:ascii="宋体" w:hAnsi="宋体" w:cs="宋体"/>
          <w:sz w:val="24"/>
          <w:szCs w:val="24"/>
          <w:u w:val="none"/>
          <w:lang w:val="zh-CN"/>
        </w:rPr>
      </w:pPr>
      <w:r>
        <w:rPr>
          <w:rFonts w:hint="eastAsia" w:ascii="宋体" w:hAnsi="宋体" w:cs="宋体"/>
          <w:b/>
          <w:sz w:val="24"/>
          <w:szCs w:val="24"/>
          <w:u w:val="none"/>
          <w:lang w:val="zh-CN"/>
        </w:rPr>
        <w:t xml:space="preserve">甲方（</w:t>
      </w:r>
      <w:r>
        <w:rPr>
          <w:rFonts w:hint="eastAsia" w:ascii="宋体" w:hAnsi="宋体" w:cs="宋体"/>
          <w:b/>
          <w:sz w:val="24"/>
          <w:szCs w:val="24"/>
          <w:u w:val="none"/>
        </w:rPr>
        <w:t xml:space="preserve">盖章</w:t>
      </w:r>
      <w:r>
        <w:rPr>
          <w:rFonts w:hint="eastAsia" w:ascii="宋体" w:hAnsi="宋体" w:cs="宋体"/>
          <w:b/>
          <w:sz w:val="24"/>
          <w:szCs w:val="24"/>
          <w:u w:val="none"/>
          <w:lang w:val="zh-CN"/>
        </w:rPr>
        <w:t xml:space="preserve">）</w:t>
      </w:r>
      <w:r>
        <w:rPr>
          <w:rFonts w:hint="eastAsia" w:ascii="宋体" w:hAnsi="宋体" w:cs="宋体"/>
          <w:sz w:val="24"/>
          <w:szCs w:val="24"/>
          <w:u w:val="none"/>
          <w:lang w:val="zh-CN"/>
        </w:rPr>
        <w:t xml:space="preserve">： </w:t>
      </w:r>
      <w:r/>
    </w:p>
    <w:p>
      <w:pPr>
        <w:spacing w:line="480" w:lineRule="auto"/>
        <w:rPr>
          <w:rFonts w:ascii="宋体" w:hAnsi="宋体" w:cs="宋体"/>
          <w:sz w:val="24"/>
          <w:szCs w:val="24"/>
          <w:u w:val="none"/>
          <w:lang w:val="zh-CN"/>
        </w:rPr>
      </w:pPr>
      <w:r>
        <w:rPr>
          <w:rFonts w:hint="eastAsia" w:ascii="宋体" w:hAnsi="宋体" w:cs="宋体"/>
          <w:sz w:val="24"/>
          <w:szCs w:val="24"/>
          <w:u w:val="none"/>
          <w:lang w:val="zh-CN"/>
        </w:rPr>
        <w:t xml:space="preserve">统一社会信用代码： </w:t>
      </w:r>
      <w:r/>
    </w:p>
    <w:p>
      <w:pPr>
        <w:spacing w:line="480" w:lineRule="auto"/>
        <w:rPr>
          <w:rFonts w:ascii="宋体" w:hAnsi="宋体" w:cs="宋体"/>
          <w:sz w:val="24"/>
          <w:szCs w:val="24"/>
          <w:u w:val="none"/>
          <w:lang w:val="zh-CN"/>
        </w:rPr>
      </w:pPr>
      <w:r>
        <w:rPr>
          <w:rFonts w:hint="eastAsia" w:ascii="宋体" w:hAnsi="宋体" w:cs="宋体"/>
          <w:sz w:val="24"/>
          <w:szCs w:val="24"/>
          <w:u w:val="none"/>
          <w:lang w:val="zh-CN"/>
        </w:rPr>
        <w:t xml:space="preserve">法定代表人或授权代表姓名： </w:t>
      </w:r>
      <w:r/>
    </w:p>
    <w:p>
      <w:pPr>
        <w:spacing w:line="480" w:lineRule="auto"/>
        <w:rPr>
          <w:rFonts w:ascii="宋体" w:hAnsi="宋体" w:cs="宋体"/>
          <w:sz w:val="24"/>
          <w:szCs w:val="24"/>
          <w:u w:val="none"/>
          <w:lang w:val="zh-CN"/>
        </w:rPr>
      </w:pPr>
      <w:r>
        <w:rPr>
          <w:rFonts w:hint="eastAsia" w:ascii="宋体" w:hAnsi="宋体" w:cs="宋体"/>
          <w:sz w:val="24"/>
          <w:szCs w:val="24"/>
          <w:u w:val="none"/>
          <w:lang w:val="zh-CN"/>
        </w:rPr>
        <w:t xml:space="preserve">约定送达地址： </w:t>
      </w:r>
      <w:r/>
    </w:p>
    <w:p>
      <w:pPr>
        <w:spacing w:line="360" w:lineRule="auto"/>
        <w:rPr>
          <w:rFonts w:ascii="宋体" w:hAnsi="宋体" w:cs="宋体"/>
          <w:b/>
          <w:sz w:val="24"/>
          <w:szCs w:val="24"/>
          <w:u w:val="none"/>
          <w:lang w:val="zh-CN"/>
        </w:rPr>
      </w:pPr>
      <w:r>
        <w:rPr>
          <w:rFonts w:ascii="宋体" w:hAnsi="宋体" w:cs="宋体"/>
          <w:b/>
          <w:sz w:val="24"/>
          <w:szCs w:val="24"/>
          <w:u w:val="none"/>
          <w:lang w:val="zh-CN"/>
        </w:rPr>
      </w:r>
      <w:r/>
    </w:p>
    <w:p>
      <w:pPr>
        <w:spacing w:line="360" w:lineRule="auto"/>
        <w:rPr>
          <w:rFonts w:ascii="宋体" w:hAnsi="宋体" w:cs="宋体"/>
          <w:b/>
          <w:sz w:val="24"/>
          <w:szCs w:val="24"/>
          <w:u w:val="none"/>
          <w:lang w:val="zh-CN"/>
        </w:rPr>
      </w:pPr>
      <w:r>
        <w:rPr>
          <w:rFonts w:ascii="宋体" w:hAnsi="宋体" w:cs="宋体"/>
          <w:b/>
          <w:sz w:val="24"/>
          <w:szCs w:val="24"/>
          <w:u w:val="none"/>
          <w:lang w:val="zh-CN"/>
        </w:rPr>
      </w:r>
      <w:r/>
    </w:p>
    <w:p>
      <w:pPr>
        <w:spacing w:line="480" w:lineRule="auto"/>
        <w:rPr>
          <w:rFonts w:ascii="宋体" w:hAnsi="宋体" w:cs="宋体"/>
          <w:b/>
          <w:sz w:val="24"/>
          <w:szCs w:val="24"/>
          <w:u w:val="none"/>
          <w:lang w:val="zh-CN"/>
        </w:rPr>
      </w:pPr>
      <w:r>
        <w:rPr>
          <w:rFonts w:hint="eastAsia" w:ascii="宋体" w:hAnsi="宋体" w:cs="宋体"/>
          <w:b/>
          <w:sz w:val="24"/>
          <w:szCs w:val="24"/>
          <w:u w:val="none"/>
          <w:lang w:val="zh-CN"/>
        </w:rPr>
        <w:t xml:space="preserve">乙方（盖章）：</w:t>
      </w:r>
      <w:r/>
    </w:p>
    <w:p>
      <w:pPr>
        <w:spacing w:line="480" w:lineRule="auto"/>
        <w:rPr>
          <w:rFonts w:ascii="宋体" w:hAnsi="宋体" w:cs="宋体"/>
          <w:sz w:val="24"/>
          <w:szCs w:val="24"/>
          <w:u w:val="none"/>
          <w:lang w:val="zh-CN"/>
        </w:rPr>
      </w:pPr>
      <w:r>
        <w:rPr>
          <w:rFonts w:hint="eastAsia" w:ascii="宋体" w:hAnsi="宋体" w:cs="宋体"/>
          <w:sz w:val="24"/>
          <w:szCs w:val="24"/>
          <w:u w:val="none"/>
          <w:lang w:val="zh-CN"/>
        </w:rPr>
        <w:t xml:space="preserve">统一社会信用代码：</w:t>
      </w:r>
      <w:r/>
    </w:p>
    <w:p>
      <w:pPr>
        <w:spacing w:line="480" w:lineRule="auto"/>
        <w:rPr>
          <w:rFonts w:ascii="宋体" w:hAnsi="宋体" w:cs="宋体"/>
          <w:sz w:val="24"/>
          <w:szCs w:val="24"/>
          <w:u w:val="none"/>
          <w:lang w:val="zh-CN"/>
        </w:rPr>
      </w:pPr>
      <w:r>
        <w:rPr>
          <w:rFonts w:hint="eastAsia" w:ascii="宋体" w:hAnsi="宋体" w:cs="宋体"/>
          <w:sz w:val="24"/>
          <w:szCs w:val="24"/>
          <w:u w:val="none"/>
          <w:lang w:val="zh-CN"/>
        </w:rPr>
        <w:t xml:space="preserve">法定代表人或授权代表姓名:</w:t>
      </w:r>
      <w:r/>
    </w:p>
    <w:p>
      <w:pPr>
        <w:spacing w:line="480" w:lineRule="auto"/>
        <w:rPr>
          <w:rFonts w:ascii="宋体" w:hAnsi="宋体" w:cs="宋体"/>
          <w:sz w:val="24"/>
          <w:szCs w:val="24"/>
          <w:u w:val="none"/>
          <w:lang w:val="zh-CN"/>
        </w:rPr>
      </w:pPr>
      <w:r>
        <w:rPr>
          <w:rFonts w:hint="eastAsia" w:ascii="宋体" w:hAnsi="宋体" w:cs="宋体"/>
          <w:sz w:val="24"/>
          <w:szCs w:val="24"/>
          <w:u w:val="none"/>
          <w:lang w:val="zh-CN"/>
        </w:rPr>
        <w:t xml:space="preserve">约定送达地址：</w:t>
      </w:r>
      <w:r/>
    </w:p>
    <w:p>
      <w:pPr>
        <w:spacing w:line="300" w:lineRule="exact"/>
        <w:rPr>
          <w:rFonts w:ascii="宋体" w:hAnsi="宋体" w:cs="宋体"/>
          <w:color w:val="000000"/>
          <w:sz w:val="24"/>
          <w:szCs w:val="24"/>
          <w:u w:val="none"/>
        </w:rPr>
      </w:pPr>
      <w:r>
        <w:rPr>
          <w:rFonts w:hint="eastAsia" w:ascii="宋体" w:hAnsi="宋体" w:cs="宋体"/>
          <w:color w:val="000000"/>
          <w:sz w:val="24"/>
          <w:szCs w:val="24"/>
          <w:u w:val="none"/>
        </w:rPr>
        <w:t xml:space="preserve"> </w:t>
      </w:r>
      <w:bookmarkEnd w:id="213"/>
      <w:r/>
      <w:r/>
    </w:p>
    <w:p>
      <w:pPr>
        <w:spacing w:line="300" w:lineRule="exact"/>
        <w:rPr>
          <w:rFonts w:ascii="宋体" w:hAnsi="宋体" w:cs="宋体"/>
          <w:color w:val="000000"/>
          <w:sz w:val="24"/>
          <w:szCs w:val="24"/>
          <w:u w:val="none"/>
        </w:rPr>
      </w:pPr>
      <w:r>
        <w:rPr>
          <w:rFonts w:ascii="宋体" w:hAnsi="宋体" w:cs="宋体"/>
          <w:color w:val="000000"/>
          <w:sz w:val="24"/>
          <w:szCs w:val="24"/>
          <w:u w:val="none"/>
        </w:rPr>
      </w:r>
      <w:r/>
    </w:p>
    <w:p>
      <w:pPr>
        <w:ind w:right="3041"/>
        <w:spacing w:before="10" w:line="602" w:lineRule="auto"/>
        <w:tabs>
          <w:tab w:val="left" w:pos="5704" w:leader="none"/>
        </w:tabs>
        <w:rPr>
          <w:rFonts w:ascii="宋体" w:hAnsi="宋体" w:cs="宋体"/>
          <w:color w:val="000000"/>
          <w:sz w:val="44"/>
          <w:u w:val="none"/>
        </w:rPr>
      </w:pPr>
      <w:r>
        <w:rPr>
          <w:rFonts w:ascii="宋体" w:hAnsi="宋体" w:cs="宋体"/>
          <w:color w:val="000000"/>
          <w:sz w:val="44"/>
          <w:u w:val="none"/>
        </w:rPr>
      </w:r>
      <w:bookmarkEnd w:id="210"/>
      <w:r/>
      <w:bookmarkEnd w:id="211"/>
      <w:r/>
      <w:bookmarkEnd w:id="212"/>
      <w:r/>
      <w:r/>
    </w:p>
    <w:p>
      <w:pPr>
        <w:ind w:right="3041"/>
        <w:spacing w:before="10" w:line="602" w:lineRule="auto"/>
        <w:tabs>
          <w:tab w:val="left" w:pos="5704" w:leader="none"/>
        </w:tabs>
        <w:rPr>
          <w:rFonts w:ascii="宋体" w:hAnsi="宋体" w:cs="宋体"/>
          <w:color w:val="000000"/>
          <w:sz w:val="44"/>
          <w:u w:val="none"/>
        </w:rPr>
      </w:pPr>
      <w:r>
        <w:rPr>
          <w:rFonts w:ascii="宋体" w:hAnsi="宋体" w:cs="宋体"/>
          <w:color w:val="000000"/>
          <w:sz w:val="44"/>
          <w:u w:val="none"/>
        </w:rPr>
      </w:r>
      <w:r/>
    </w:p>
    <w:p>
      <w:pPr>
        <w:jc w:val="center"/>
        <w:widowControl/>
        <w:rPr>
          <w:rFonts w:ascii="宋体" w:hAnsi="宋体"/>
          <w:color w:val="000000"/>
          <w:sz w:val="36"/>
          <w:u w:val="none"/>
        </w:rPr>
      </w:pPr>
      <w:r>
        <w:rPr>
          <w:rFonts w:ascii="宋体" w:hAnsi="宋体"/>
          <w:color w:val="000000"/>
          <w:sz w:val="36"/>
          <w:u w:val="none"/>
        </w:rPr>
      </w:r>
      <w:r/>
    </w:p>
    <w:p>
      <w:pPr>
        <w:rPr>
          <w:rFonts w:ascii="宋体" w:hAnsi="宋体"/>
          <w:color w:val="000000"/>
          <w:sz w:val="36"/>
          <w:u w:val="none"/>
        </w:rPr>
      </w:pPr>
      <w:r/>
      <w:bookmarkStart w:id="244" w:name="_Toc29137"/>
      <w:r>
        <w:rPr>
          <w:rFonts w:ascii="宋体" w:hAnsi="宋体"/>
          <w:color w:val="000000"/>
          <w:sz w:val="36"/>
          <w:u w:val="none"/>
        </w:rPr>
        <w:br w:type="page" w:clear="all"/>
      </w:r>
      <w:r/>
    </w:p>
    <w:p>
      <w:pPr>
        <w:jc w:val="center"/>
        <w:spacing w:line="360" w:lineRule="auto"/>
        <w:rPr>
          <w:rFonts w:ascii="宋体" w:hAnsi="宋体" w:cs="宋体"/>
          <w:b/>
          <w:sz w:val="28"/>
          <w:szCs w:val="28"/>
          <w:u w:val="none"/>
        </w:rPr>
      </w:pPr>
      <w:r>
        <w:rPr>
          <w:rFonts w:hint="eastAsia" w:ascii="宋体" w:hAnsi="宋体" w:cs="宋体"/>
          <w:b/>
          <w:sz w:val="28"/>
          <w:szCs w:val="28"/>
          <w:u w:val="none"/>
        </w:rPr>
        <w:t xml:space="preserve">第二部分 合同一般条款</w:t>
      </w:r>
      <w:r/>
    </w:p>
    <w:p>
      <w:pPr>
        <w:ind w:firstLine="482"/>
        <w:spacing w:line="360" w:lineRule="auto"/>
        <w:rPr>
          <w:rFonts w:ascii="宋体" w:hAnsi="宋体" w:cs="宋体"/>
          <w:b/>
          <w:sz w:val="24"/>
          <w:szCs w:val="24"/>
          <w:u w:val="none"/>
        </w:rPr>
        <w:outlineLvl w:val="0"/>
      </w:pPr>
      <w:r/>
      <w:bookmarkStart w:id="245" w:name="_Ref467379109"/>
      <w:r/>
      <w:bookmarkStart w:id="246" w:name="_Toc28763"/>
      <w:r/>
      <w:bookmarkStart w:id="247" w:name="_Ref467379214"/>
      <w:r/>
      <w:bookmarkStart w:id="248" w:name="_Ref467379205"/>
      <w:r/>
      <w:bookmarkStart w:id="249" w:name="_Ref467379195"/>
      <w:r/>
      <w:bookmarkStart w:id="250" w:name="_Ref467379094"/>
      <w:r/>
      <w:bookmarkStart w:id="251" w:name="_Toc259093669"/>
      <w:r/>
      <w:bookmarkStart w:id="252" w:name="_Ref467378463"/>
      <w:r/>
      <w:bookmarkStart w:id="253" w:name="_Toc19614"/>
      <w:r/>
      <w:bookmarkStart w:id="254" w:name="_Toc279701240"/>
      <w:r/>
      <w:bookmarkStart w:id="255" w:name="_Ref467378404"/>
      <w:r/>
      <w:bookmarkStart w:id="256" w:name="_Ref467379101"/>
      <w:r/>
      <w:bookmarkStart w:id="257" w:name="_Toc16917"/>
      <w:r/>
      <w:bookmarkStart w:id="258" w:name="_Ref467379225"/>
      <w:r/>
      <w:bookmarkStart w:id="259" w:name="_Toc487900349"/>
      <w:r/>
      <w:bookmarkStart w:id="260" w:name="_Ref467378499"/>
      <w:r>
        <w:rPr>
          <w:rFonts w:hint="eastAsia" w:ascii="宋体" w:hAnsi="宋体" w:cs="宋体"/>
          <w:b/>
          <w:sz w:val="24"/>
          <w:szCs w:val="24"/>
          <w:u w:val="none"/>
        </w:rPr>
        <w:t xml:space="preserve">2.1 定义</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本合同中的下列词语应按以下内容进行解释：</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sz w:val="24"/>
          <w:szCs w:val="24"/>
          <w:u w:val="none"/>
        </w:rPr>
      </w:pPr>
      <w:r/>
      <w:bookmarkStart w:id="261" w:name="_Hlk132880551"/>
      <w:r>
        <w:rPr>
          <w:rFonts w:hint="eastAsia" w:ascii="宋体" w:hAnsi="宋体" w:cs="宋体"/>
          <w:sz w:val="24"/>
          <w:szCs w:val="24"/>
          <w:u w:val="none"/>
        </w:rPr>
        <w:t xml:space="preserve">2.1.3</w:t>
      </w:r>
      <w:bookmarkEnd w:id="261"/>
      <w:r>
        <w:rPr>
          <w:rFonts w:hint="eastAsia" w:ascii="宋体" w:hAnsi="宋体" w:cs="宋体"/>
          <w:sz w:val="24"/>
          <w:szCs w:val="24"/>
          <w:u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2.1.</w:t>
      </w:r>
      <w:r>
        <w:rPr>
          <w:rFonts w:ascii="宋体" w:hAnsi="宋体" w:cs="宋体"/>
          <w:sz w:val="24"/>
          <w:szCs w:val="24"/>
          <w:u w:val="none"/>
        </w:rPr>
        <w:t xml:space="preserve">4“</w:t>
      </w:r>
      <w:r>
        <w:rPr>
          <w:rFonts w:hint="eastAsia" w:ascii="宋体" w:hAnsi="宋体" w:cs="宋体"/>
          <w:sz w:val="24"/>
          <w:szCs w:val="24"/>
          <w:u w:val="none"/>
        </w:rPr>
        <w:t xml:space="preserve">服务</w:t>
      </w:r>
      <w:r>
        <w:rPr>
          <w:rFonts w:ascii="宋体" w:hAnsi="宋体" w:cs="宋体"/>
          <w:sz w:val="24"/>
          <w:szCs w:val="24"/>
          <w:u w:val="none"/>
        </w:rPr>
        <w:t xml:space="preserve">”系指</w:t>
      </w:r>
      <w:r>
        <w:rPr>
          <w:rFonts w:hint="eastAsia" w:ascii="宋体" w:hAnsi="宋体" w:cs="宋体"/>
          <w:sz w:val="24"/>
          <w:szCs w:val="24"/>
          <w:u w:val="none"/>
        </w:rPr>
        <w:t xml:space="preserve">中标或成交供应商</w:t>
      </w:r>
      <w:r>
        <w:rPr>
          <w:rFonts w:ascii="宋体" w:hAnsi="宋体" w:cs="宋体"/>
          <w:sz w:val="24"/>
          <w:szCs w:val="24"/>
          <w:u w:val="none"/>
        </w:rPr>
        <w:t xml:space="preserve">根据合同约定应向采购人</w:t>
      </w:r>
      <w:r>
        <w:rPr>
          <w:rFonts w:hint="eastAsia" w:ascii="宋体" w:hAnsi="宋体" w:cs="宋体"/>
          <w:sz w:val="24"/>
          <w:szCs w:val="24"/>
          <w:u w:val="none"/>
        </w:rPr>
        <w:t xml:space="preserve">履行</w:t>
      </w:r>
      <w:r>
        <w:rPr>
          <w:rFonts w:ascii="宋体" w:hAnsi="宋体" w:cs="宋体"/>
          <w:sz w:val="24"/>
          <w:szCs w:val="24"/>
          <w:u w:val="none"/>
        </w:rPr>
        <w:t xml:space="preserve">的</w:t>
      </w:r>
      <w:r>
        <w:rPr>
          <w:rFonts w:hint="eastAsia" w:ascii="宋体" w:hAnsi="宋体" w:cs="宋体"/>
          <w:sz w:val="24"/>
          <w:szCs w:val="24"/>
          <w:u w:val="none"/>
        </w:rPr>
        <w:t xml:space="preserve">除货物和工程以外的其他政府采购对象，包括采购人自身需要的服务和向社会公众提供的公共服务。</w:t>
      </w:r>
      <w:r/>
    </w:p>
    <w:p>
      <w:pPr>
        <w:ind w:firstLine="480"/>
        <w:spacing w:line="360" w:lineRule="auto"/>
        <w:rPr>
          <w:rFonts w:ascii="宋体" w:hAnsi="宋体" w:cs="宋体"/>
          <w:sz w:val="24"/>
          <w:szCs w:val="24"/>
          <w:u w:val="none"/>
        </w:rPr>
      </w:pPr>
      <w:r/>
      <w:bookmarkStart w:id="262" w:name="_Ref467378840"/>
      <w:r>
        <w:rPr>
          <w:rFonts w:hint="eastAsia" w:ascii="宋体" w:hAnsi="宋体" w:cs="宋体"/>
          <w:sz w:val="24"/>
          <w:szCs w:val="24"/>
          <w:u w:val="none"/>
        </w:rPr>
        <w:t xml:space="preserve">2.1.</w:t>
      </w:r>
      <w:r>
        <w:rPr>
          <w:rFonts w:ascii="宋体" w:hAnsi="宋体" w:cs="宋体"/>
          <w:sz w:val="24"/>
          <w:szCs w:val="24"/>
          <w:u w:val="none"/>
        </w:rPr>
        <w:t xml:space="preserve">5</w:t>
      </w:r>
      <w:r>
        <w:rPr>
          <w:rFonts w:hint="eastAsia" w:ascii="宋体" w:hAnsi="宋体" w:cs="宋体"/>
          <w:sz w:val="24"/>
          <w:szCs w:val="24"/>
          <w:u w:val="none"/>
        </w:rPr>
        <w:t xml:space="preserve"> “甲方”系指与中标或成交供应商签署合同的采购人</w:t>
      </w:r>
      <w:bookmarkEnd w:id="262"/>
      <w:r>
        <w:rPr>
          <w:rFonts w:hint="eastAsia" w:ascii="宋体" w:hAnsi="宋体" w:cs="宋体"/>
          <w:sz w:val="24"/>
          <w:szCs w:val="24"/>
          <w:u w:val="none"/>
        </w:rPr>
        <w:t xml:space="preserve">；采购人委托采购代理机构代表其与乙方签订合同的，采购人的授权委托书作为合同附件。</w:t>
      </w:r>
      <w:r/>
    </w:p>
    <w:p>
      <w:pPr>
        <w:ind w:firstLine="480"/>
        <w:spacing w:line="360" w:lineRule="auto"/>
        <w:rPr>
          <w:rFonts w:ascii="宋体" w:hAnsi="宋体" w:cs="宋体"/>
          <w:sz w:val="24"/>
          <w:szCs w:val="24"/>
          <w:u w:val="none"/>
        </w:rPr>
      </w:pPr>
      <w:r/>
      <w:bookmarkStart w:id="263" w:name="_Ref467379400"/>
      <w:r>
        <w:rPr>
          <w:rFonts w:hint="eastAsia" w:ascii="宋体" w:hAnsi="宋体" w:cs="宋体"/>
          <w:sz w:val="24"/>
          <w:szCs w:val="24"/>
          <w:u w:val="none"/>
        </w:rPr>
        <w:t xml:space="preserve">2.1.</w:t>
      </w:r>
      <w:r>
        <w:rPr>
          <w:rFonts w:ascii="宋体" w:hAnsi="宋体" w:cs="宋体"/>
          <w:sz w:val="24"/>
          <w:szCs w:val="24"/>
          <w:u w:val="none"/>
        </w:rPr>
        <w:t xml:space="preserve">6</w:t>
      </w:r>
      <w:r>
        <w:rPr>
          <w:rFonts w:hint="eastAsia" w:ascii="宋体" w:hAnsi="宋体" w:cs="宋体"/>
          <w:sz w:val="24"/>
          <w:szCs w:val="24"/>
          <w:u w:val="none"/>
        </w:rPr>
        <w:t xml:space="preserve"> “乙方”系指根据合同约定交付货物的中标或成交供应商</w:t>
      </w:r>
      <w:bookmarkEnd w:id="263"/>
      <w:r>
        <w:rPr>
          <w:rFonts w:hint="eastAsia" w:ascii="宋体" w:hAnsi="宋体" w:cs="宋体"/>
          <w:sz w:val="24"/>
          <w:szCs w:val="24"/>
          <w:u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sz w:val="24"/>
          <w:szCs w:val="24"/>
          <w:u w:val="none"/>
        </w:rPr>
      </w:pPr>
      <w:r/>
      <w:bookmarkStart w:id="264" w:name="_Ref467379436"/>
      <w:r>
        <w:rPr>
          <w:rFonts w:hint="eastAsia" w:ascii="宋体" w:hAnsi="宋体" w:cs="宋体"/>
          <w:sz w:val="24"/>
          <w:szCs w:val="24"/>
          <w:u w:val="none"/>
        </w:rPr>
        <w:t xml:space="preserve">2.1.</w:t>
      </w:r>
      <w:r>
        <w:rPr>
          <w:rFonts w:ascii="宋体" w:hAnsi="宋体" w:cs="宋体"/>
          <w:sz w:val="24"/>
          <w:szCs w:val="24"/>
          <w:u w:val="none"/>
        </w:rPr>
        <w:t xml:space="preserve">7</w:t>
      </w:r>
      <w:r>
        <w:rPr>
          <w:rFonts w:hint="eastAsia" w:ascii="宋体" w:hAnsi="宋体" w:cs="宋体"/>
          <w:sz w:val="24"/>
          <w:szCs w:val="24"/>
          <w:u w:val="none"/>
        </w:rPr>
        <w:t xml:space="preserve"> “现场”系指合同约定货物将要运至或者安装的地点。</w:t>
      </w:r>
      <w:bookmarkEnd w:id="264"/>
      <w:r/>
      <w:r/>
    </w:p>
    <w:p>
      <w:pPr>
        <w:ind w:firstLine="482"/>
        <w:spacing w:line="360" w:lineRule="auto"/>
        <w:rPr>
          <w:rFonts w:ascii="宋体" w:hAnsi="宋体" w:cs="宋体"/>
          <w:b/>
          <w:sz w:val="24"/>
          <w:szCs w:val="24"/>
          <w:u w:val="none"/>
        </w:rPr>
        <w:outlineLvl w:val="0"/>
      </w:pPr>
      <w:r/>
      <w:bookmarkStart w:id="265" w:name="_Toc487900350"/>
      <w:r/>
      <w:bookmarkStart w:id="266" w:name="_Toc32504"/>
      <w:r/>
      <w:bookmarkStart w:id="267" w:name="_Toc279701241"/>
      <w:r/>
      <w:bookmarkStart w:id="268" w:name="_Toc13336"/>
      <w:r/>
      <w:bookmarkStart w:id="269" w:name="_Toc259093670"/>
      <w:r/>
      <w:bookmarkStart w:id="270" w:name="_Toc27635"/>
      <w:r>
        <w:rPr>
          <w:rFonts w:hint="eastAsia" w:ascii="宋体" w:hAnsi="宋体" w:cs="宋体"/>
          <w:b/>
          <w:sz w:val="24"/>
          <w:szCs w:val="24"/>
          <w:u w:val="none"/>
        </w:rPr>
        <w:t xml:space="preserve">2.2 技术规范</w:t>
      </w:r>
      <w:bookmarkEnd w:id="265"/>
      <w:r/>
      <w:bookmarkEnd w:id="266"/>
      <w:r/>
      <w:bookmarkEnd w:id="267"/>
      <w:r/>
      <w:bookmarkEnd w:id="268"/>
      <w:r/>
      <w:bookmarkEnd w:id="269"/>
      <w:r/>
      <w:bookmarkEnd w:id="270"/>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货物或服务所应遵守的技术规范应与采购文件规定的技术规范</w:t>
      </w:r>
      <w:r>
        <w:rPr>
          <w:rFonts w:hint="eastAsia" w:ascii="宋体" w:hAnsi="宋体" w:cs="宋体"/>
          <w:i/>
          <w:sz w:val="24"/>
          <w:szCs w:val="24"/>
          <w:u w:val="none"/>
        </w:rPr>
        <w:t xml:space="preserve">和技术规范附件(</w:t>
      </w:r>
      <w:r>
        <w:rPr>
          <w:rFonts w:hint="eastAsia" w:ascii="宋体" w:hAnsi="宋体" w:cs="宋体"/>
          <w:i/>
          <w:iCs/>
          <w:sz w:val="24"/>
          <w:szCs w:val="24"/>
          <w:u w:val="none"/>
        </w:rPr>
        <w:t xml:space="preserve">如果有的话</w:t>
      </w:r>
      <w:r>
        <w:rPr>
          <w:rFonts w:hint="eastAsia" w:ascii="宋体" w:hAnsi="宋体" w:cs="宋体"/>
          <w:i/>
          <w:sz w:val="24"/>
          <w:szCs w:val="24"/>
          <w:u w:val="none"/>
        </w:rPr>
        <w:t xml:space="preserve">)</w:t>
      </w:r>
      <w:r>
        <w:rPr>
          <w:rFonts w:hint="eastAsia" w:ascii="宋体" w:hAnsi="宋体" w:cs="宋体"/>
          <w:sz w:val="24"/>
          <w:szCs w:val="24"/>
          <w:u w:val="none"/>
        </w:rPr>
        <w:t xml:space="preserve">及其技术规范偏差表(</w:t>
      </w:r>
      <w:r>
        <w:rPr>
          <w:rFonts w:hint="eastAsia" w:ascii="宋体" w:hAnsi="宋体" w:cs="宋体"/>
          <w:i/>
          <w:iCs/>
          <w:sz w:val="24"/>
          <w:szCs w:val="24"/>
          <w:u w:val="none"/>
        </w:rPr>
        <w:t xml:space="preserve">如果被甲方接受的话)</w:t>
      </w:r>
      <w:r>
        <w:rPr>
          <w:rFonts w:hint="eastAsia" w:ascii="宋体" w:hAnsi="宋体" w:cs="宋体"/>
          <w:sz w:val="24"/>
          <w:szCs w:val="24"/>
          <w:u w:val="none"/>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sz w:val="24"/>
          <w:szCs w:val="24"/>
          <w:u w:val="none"/>
        </w:rPr>
        <w:outlineLvl w:val="0"/>
      </w:pPr>
      <w:r/>
      <w:bookmarkStart w:id="271" w:name="_Toc9829"/>
      <w:r/>
      <w:bookmarkStart w:id="272" w:name="_Toc31634"/>
      <w:r/>
      <w:bookmarkStart w:id="273" w:name="_Toc27853"/>
      <w:r/>
      <w:bookmarkStart w:id="274" w:name="_Toc259093671"/>
      <w:r/>
      <w:bookmarkStart w:id="275" w:name="_Toc487900351"/>
      <w:r/>
      <w:bookmarkStart w:id="276" w:name="_Toc279701242"/>
      <w:r>
        <w:rPr>
          <w:rFonts w:hint="eastAsia" w:ascii="宋体" w:hAnsi="宋体" w:cs="宋体"/>
          <w:b/>
          <w:sz w:val="24"/>
          <w:szCs w:val="24"/>
          <w:u w:val="none"/>
        </w:rPr>
        <w:t xml:space="preserve">2.3 知识产权</w:t>
      </w:r>
      <w:bookmarkEnd w:id="271"/>
      <w:r/>
      <w:bookmarkEnd w:id="272"/>
      <w:r/>
      <w:bookmarkEnd w:id="273"/>
      <w:r/>
      <w:bookmarkEnd w:id="274"/>
      <w:r/>
      <w:bookmarkEnd w:id="275"/>
      <w:r/>
      <w:bookmarkEnd w:id="276"/>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sz w:val="24"/>
          <w:szCs w:val="24"/>
          <w:u w:val="none"/>
        </w:rPr>
      </w:pPr>
      <w:r>
        <w:rPr>
          <w:rFonts w:hint="eastAsia" w:ascii="宋体" w:hAnsi="宋体" w:cs="宋体"/>
          <w:sz w:val="24"/>
          <w:szCs w:val="24"/>
          <w:u w:val="none"/>
        </w:rPr>
        <w:t xml:space="preserve">2.3.2具有知识产权的计算机软件等货物或</w:t>
      </w:r>
      <w:r>
        <w:rPr>
          <w:rFonts w:hint="eastAsia" w:ascii="宋体" w:hAnsi="宋体"/>
          <w:sz w:val="24"/>
          <w:szCs w:val="24"/>
          <w:u w:val="none"/>
        </w:rPr>
        <w:t xml:space="preserve">技术成果</w:t>
      </w:r>
      <w:r>
        <w:rPr>
          <w:rFonts w:hint="eastAsia" w:ascii="宋体" w:hAnsi="宋体" w:cs="宋体"/>
          <w:sz w:val="24"/>
          <w:szCs w:val="24"/>
          <w:u w:val="none"/>
        </w:rPr>
        <w:t xml:space="preserve">的知识产权归属，详见</w:t>
      </w:r>
      <w:r>
        <w:rPr>
          <w:rFonts w:hint="eastAsia" w:ascii="宋体" w:hAnsi="宋体" w:cs="宋体"/>
          <w:b/>
          <w:iCs/>
          <w:sz w:val="24"/>
          <w:szCs w:val="24"/>
          <w:u w:val="none"/>
        </w:rPr>
        <w:t xml:space="preserve">合同专用条款2</w:t>
      </w:r>
      <w:r>
        <w:rPr>
          <w:rFonts w:ascii="宋体" w:hAnsi="宋体" w:cs="宋体"/>
          <w:b/>
          <w:iCs/>
          <w:sz w:val="24"/>
          <w:szCs w:val="24"/>
          <w:u w:val="none"/>
        </w:rPr>
        <w:t xml:space="preserve">.3.2</w:t>
      </w:r>
      <w:r>
        <w:rPr>
          <w:rFonts w:hint="eastAsia" w:ascii="宋体" w:hAnsi="宋体" w:cs="宋体"/>
          <w:iCs/>
          <w:sz w:val="24"/>
          <w:szCs w:val="24"/>
          <w:u w:val="none"/>
        </w:rPr>
        <w:t xml:space="preserve">。</w:t>
      </w:r>
      <w:r/>
    </w:p>
    <w:p>
      <w:pPr>
        <w:ind w:firstLine="482"/>
        <w:spacing w:line="360" w:lineRule="auto"/>
        <w:rPr>
          <w:rFonts w:ascii="宋体" w:hAnsi="宋体" w:cs="宋体"/>
          <w:b/>
          <w:sz w:val="24"/>
          <w:szCs w:val="24"/>
          <w:u w:val="none"/>
        </w:rPr>
        <w:outlineLvl w:val="0"/>
      </w:pPr>
      <w:r/>
      <w:bookmarkStart w:id="277" w:name="_Toc11932"/>
      <w:r/>
      <w:bookmarkStart w:id="278" w:name="_Toc4194"/>
      <w:r/>
      <w:bookmarkStart w:id="279" w:name="_Toc29149"/>
      <w:r>
        <w:rPr>
          <w:rFonts w:hint="eastAsia" w:ascii="宋体" w:hAnsi="宋体" w:cs="宋体"/>
          <w:b/>
          <w:sz w:val="24"/>
          <w:szCs w:val="24"/>
          <w:u w:val="none"/>
        </w:rPr>
        <w:t xml:space="preserve">2.4 包装和装运</w:t>
      </w:r>
      <w:bookmarkEnd w:id="277"/>
      <w:r/>
      <w:bookmarkEnd w:id="278"/>
      <w:r/>
      <w:bookmarkEnd w:id="279"/>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2.4.1除</w:t>
      </w:r>
      <w:r>
        <w:rPr>
          <w:rFonts w:hint="eastAsia" w:ascii="宋体" w:hAnsi="宋体" w:cs="宋体"/>
          <w:b/>
          <w:iCs/>
          <w:sz w:val="24"/>
          <w:szCs w:val="24"/>
          <w:u w:val="none"/>
        </w:rPr>
        <w:t xml:space="preserve">合同专用条款2</w:t>
      </w:r>
      <w:r>
        <w:rPr>
          <w:rFonts w:ascii="宋体" w:hAnsi="宋体" w:cs="宋体"/>
          <w:b/>
          <w:iCs/>
          <w:sz w:val="24"/>
          <w:szCs w:val="24"/>
          <w:u w:val="none"/>
        </w:rPr>
        <w:t xml:space="preserve">.4.1</w:t>
      </w:r>
      <w:r>
        <w:rPr>
          <w:rFonts w:hint="eastAsia" w:ascii="宋体" w:hAnsi="宋体" w:cs="宋体"/>
          <w:sz w:val="24"/>
          <w:szCs w:val="24"/>
          <w:u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2.4.3 装运货物的要求和通知，详见</w:t>
      </w:r>
      <w:r>
        <w:rPr>
          <w:rFonts w:hint="eastAsia" w:ascii="宋体" w:hAnsi="宋体" w:cs="宋体"/>
          <w:b/>
          <w:iCs/>
          <w:sz w:val="24"/>
          <w:szCs w:val="24"/>
          <w:u w:val="none"/>
        </w:rPr>
        <w:t xml:space="preserve">合同专用条款2</w:t>
      </w:r>
      <w:r>
        <w:rPr>
          <w:rFonts w:ascii="宋体" w:hAnsi="宋体" w:cs="宋体"/>
          <w:b/>
          <w:iCs/>
          <w:sz w:val="24"/>
          <w:szCs w:val="24"/>
          <w:u w:val="none"/>
        </w:rPr>
        <w:t xml:space="preserve">.4.3</w:t>
      </w:r>
      <w:r>
        <w:rPr>
          <w:rFonts w:hint="eastAsia" w:ascii="宋体" w:hAnsi="宋体" w:cs="宋体"/>
          <w:iCs/>
          <w:sz w:val="24"/>
          <w:szCs w:val="24"/>
          <w:u w:val="none"/>
        </w:rPr>
        <w:t xml:space="preserve">。</w:t>
      </w:r>
      <w:r/>
    </w:p>
    <w:p>
      <w:pPr>
        <w:ind w:firstLine="482"/>
        <w:spacing w:line="360" w:lineRule="auto"/>
        <w:rPr>
          <w:rFonts w:ascii="宋体" w:hAnsi="宋体" w:cs="宋体"/>
          <w:b/>
          <w:sz w:val="24"/>
          <w:szCs w:val="24"/>
          <w:u w:val="none"/>
        </w:rPr>
        <w:outlineLvl w:val="0"/>
      </w:pPr>
      <w:r/>
      <w:bookmarkStart w:id="280" w:name="_Ref467378591"/>
      <w:r/>
      <w:bookmarkStart w:id="281" w:name="_Ref467379527"/>
      <w:r/>
      <w:bookmarkStart w:id="282" w:name="_Ref467379542"/>
      <w:r/>
      <w:bookmarkStart w:id="283" w:name="_Ref467379536"/>
      <w:r/>
      <w:bookmarkStart w:id="284" w:name="_Toc259093674"/>
      <w:r/>
      <w:bookmarkStart w:id="285" w:name="_Ref467378541"/>
      <w:r/>
      <w:bookmarkStart w:id="286" w:name="_Toc487900354"/>
      <w:r/>
      <w:bookmarkStart w:id="287" w:name="_Toc279701245"/>
      <w:r/>
      <w:bookmarkStart w:id="288" w:name="_Toc30272"/>
      <w:r/>
      <w:bookmarkStart w:id="289" w:name="_Toc26182"/>
      <w:r/>
      <w:bookmarkStart w:id="290" w:name="_Toc19074"/>
      <w:r>
        <w:rPr>
          <w:rFonts w:hint="eastAsia" w:ascii="宋体" w:hAnsi="宋体" w:cs="宋体"/>
          <w:b/>
          <w:sz w:val="24"/>
          <w:szCs w:val="24"/>
          <w:u w:val="none"/>
        </w:rPr>
        <w:t xml:space="preserve">2.</w:t>
      </w:r>
      <w:bookmarkEnd w:id="280"/>
      <w:r/>
      <w:bookmarkEnd w:id="281"/>
      <w:r/>
      <w:bookmarkEnd w:id="282"/>
      <w:r/>
      <w:bookmarkEnd w:id="283"/>
      <w:r/>
      <w:bookmarkEnd w:id="284"/>
      <w:r/>
      <w:bookmarkEnd w:id="285"/>
      <w:r/>
      <w:bookmarkEnd w:id="286"/>
      <w:r/>
      <w:bookmarkEnd w:id="287"/>
      <w:r>
        <w:rPr>
          <w:rFonts w:hint="eastAsia" w:ascii="宋体" w:hAnsi="宋体" w:cs="宋体"/>
          <w:b/>
          <w:sz w:val="24"/>
          <w:szCs w:val="24"/>
          <w:u w:val="none"/>
        </w:rPr>
        <w:t xml:space="preserve">5 履约检查和问题反馈</w:t>
      </w:r>
      <w:bookmarkEnd w:id="288"/>
      <w:r/>
      <w:bookmarkEnd w:id="289"/>
      <w:r/>
      <w:bookmarkEnd w:id="290"/>
      <w:r/>
      <w:r/>
    </w:p>
    <w:p>
      <w:pPr>
        <w:ind w:firstLine="480"/>
        <w:spacing w:line="360" w:lineRule="auto"/>
        <w:rPr>
          <w:rFonts w:ascii="宋体" w:hAnsi="宋体" w:cs="宋体"/>
          <w:sz w:val="24"/>
          <w:szCs w:val="24"/>
          <w:u w:val="none"/>
        </w:rPr>
      </w:pPr>
      <w:r/>
      <w:bookmarkStart w:id="291" w:name="_Ref467379657"/>
      <w:r>
        <w:rPr>
          <w:rFonts w:hint="eastAsia" w:ascii="宋体" w:hAnsi="宋体" w:cs="宋体"/>
          <w:sz w:val="24"/>
          <w:szCs w:val="24"/>
          <w:u w:val="none"/>
        </w:rPr>
        <w:t xml:space="preserve">2.5.1</w:t>
      </w:r>
      <w:bookmarkEnd w:id="291"/>
      <w:r/>
      <w:bookmarkStart w:id="292" w:name="_Toc186431854"/>
      <w:r/>
      <w:bookmarkStart w:id="293" w:name="_Ref467379793"/>
      <w:r/>
      <w:bookmarkStart w:id="294" w:name="_Ref467379807"/>
      <w:r/>
      <w:bookmarkStart w:id="295" w:name="_Toc487900357"/>
      <w:r/>
      <w:bookmarkStart w:id="296" w:name="_Toc279701247"/>
      <w:r/>
      <w:bookmarkStart w:id="297" w:name="_Toc259093676"/>
      <w:r>
        <w:rPr>
          <w:rFonts w:hint="eastAsia" w:ascii="宋体" w:hAnsi="宋体" w:cs="宋体"/>
          <w:sz w:val="24"/>
          <w:szCs w:val="24"/>
          <w:u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2.5.2 合同履行期间，甲方有权将履行过程中出现的问题反馈给乙方，双方当事人应以书面形式约定需要完善和改进的内容</w:t>
      </w:r>
      <w:bookmarkEnd w:id="292"/>
      <w:r/>
      <w:bookmarkStart w:id="298" w:name="_Toc186431855"/>
      <w:r>
        <w:rPr>
          <w:rFonts w:hint="eastAsia" w:ascii="宋体" w:hAnsi="宋体" w:cs="宋体"/>
          <w:sz w:val="24"/>
          <w:szCs w:val="24"/>
          <w:u w:val="none"/>
        </w:rPr>
        <w:t xml:space="preserve">。</w:t>
      </w:r>
      <w:bookmarkEnd w:id="293"/>
      <w:r/>
      <w:bookmarkEnd w:id="294"/>
      <w:r/>
      <w:bookmarkEnd w:id="295"/>
      <w:r/>
      <w:bookmarkEnd w:id="296"/>
      <w:r/>
      <w:bookmarkEnd w:id="297"/>
      <w:r/>
      <w:bookmarkEnd w:id="298"/>
      <w:r/>
      <w:r/>
    </w:p>
    <w:p>
      <w:pPr>
        <w:ind w:firstLine="482"/>
        <w:spacing w:line="360" w:lineRule="auto"/>
        <w:rPr>
          <w:rFonts w:ascii="宋体" w:hAnsi="宋体" w:cs="宋体"/>
          <w:b/>
          <w:sz w:val="24"/>
          <w:szCs w:val="24"/>
          <w:u w:val="none"/>
        </w:rPr>
        <w:outlineLvl w:val="0"/>
      </w:pPr>
      <w:r/>
      <w:bookmarkStart w:id="299" w:name="_Ref467379923"/>
      <w:r/>
      <w:bookmarkStart w:id="300" w:name="_Ref467379863"/>
      <w:r/>
      <w:bookmarkStart w:id="301" w:name="_Toc487900358"/>
      <w:r/>
      <w:bookmarkStart w:id="302" w:name="_Toc259093677"/>
      <w:r/>
      <w:bookmarkStart w:id="303" w:name="_Ref467379852"/>
      <w:r/>
      <w:bookmarkStart w:id="304" w:name="_Toc279701248"/>
      <w:r/>
      <w:bookmarkStart w:id="305" w:name="_Toc3225"/>
      <w:r/>
      <w:bookmarkStart w:id="306" w:name="_Toc16110"/>
      <w:r/>
      <w:bookmarkStart w:id="307" w:name="_Toc774"/>
      <w:r>
        <w:rPr>
          <w:rFonts w:hint="eastAsia" w:ascii="宋体" w:hAnsi="宋体" w:cs="宋体"/>
          <w:b/>
          <w:sz w:val="24"/>
          <w:szCs w:val="24"/>
          <w:u w:val="none"/>
        </w:rPr>
        <w:t xml:space="preserve">2.6 技术资料</w:t>
      </w:r>
      <w:bookmarkEnd w:id="299"/>
      <w:r/>
      <w:bookmarkEnd w:id="300"/>
      <w:r/>
      <w:bookmarkEnd w:id="301"/>
      <w:r/>
      <w:bookmarkEnd w:id="302"/>
      <w:r/>
      <w:bookmarkEnd w:id="303"/>
      <w:r/>
      <w:bookmarkEnd w:id="304"/>
      <w:r>
        <w:rPr>
          <w:rFonts w:hint="eastAsia" w:ascii="宋体" w:hAnsi="宋体" w:cs="宋体"/>
          <w:b/>
          <w:sz w:val="24"/>
          <w:szCs w:val="24"/>
          <w:u w:val="none"/>
        </w:rPr>
        <w:t xml:space="preserve">和保密义务</w:t>
      </w:r>
      <w:bookmarkEnd w:id="305"/>
      <w:r/>
      <w:bookmarkEnd w:id="306"/>
      <w:r/>
      <w:bookmarkEnd w:id="307"/>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2.6.1 乙方有权依据合同约定和项目需要，向甲方了解有关情况，调阅有关资料等，甲方应予积极配合；</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2.6.2 乙方有义务妥善保管和保护由甲方提供的前款信息和资料等；</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2.6.5 本保密条款长期有效，本合同变更、终止或解除等均不影响本条款的效力。</w:t>
      </w:r>
      <w:r/>
    </w:p>
    <w:p>
      <w:pPr>
        <w:ind w:firstLine="482"/>
        <w:spacing w:line="360" w:lineRule="auto"/>
        <w:rPr>
          <w:rFonts w:ascii="宋体" w:hAnsi="宋体" w:cs="宋体"/>
          <w:b/>
          <w:sz w:val="24"/>
          <w:szCs w:val="24"/>
          <w:u w:val="none"/>
        </w:rPr>
        <w:outlineLvl w:val="0"/>
      </w:pPr>
      <w:r/>
      <w:bookmarkStart w:id="308" w:name="_Toc7860"/>
      <w:r>
        <w:rPr>
          <w:rFonts w:hint="eastAsia" w:ascii="宋体" w:hAnsi="宋体" w:cs="宋体"/>
          <w:b/>
          <w:sz w:val="24"/>
          <w:szCs w:val="24"/>
          <w:u w:val="none"/>
        </w:rPr>
        <w:t xml:space="preserve">2.7 质量保证</w:t>
      </w:r>
      <w:bookmarkEnd w:id="308"/>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sz w:val="24"/>
          <w:szCs w:val="24"/>
          <w:u w:val="none"/>
        </w:rPr>
        <w:outlineLvl w:val="0"/>
      </w:pPr>
      <w:r/>
      <w:bookmarkStart w:id="309" w:name="_Toc17244"/>
      <w:r/>
      <w:bookmarkStart w:id="310" w:name="_Toc487900362"/>
      <w:r/>
      <w:bookmarkStart w:id="311" w:name="_Toc279701252"/>
      <w:r/>
      <w:bookmarkStart w:id="312" w:name="_Toc259093681"/>
      <w:r>
        <w:rPr>
          <w:rFonts w:hint="eastAsia" w:ascii="宋体" w:hAnsi="宋体" w:cs="宋体"/>
          <w:b/>
          <w:sz w:val="24"/>
          <w:szCs w:val="24"/>
          <w:u w:val="none"/>
        </w:rPr>
        <w:t xml:space="preserve">2.8 货物的风险负担</w:t>
      </w:r>
      <w:bookmarkEnd w:id="309"/>
      <w:r/>
      <w:r/>
    </w:p>
    <w:p>
      <w:pPr>
        <w:ind w:firstLine="480"/>
        <w:spacing w:line="360" w:lineRule="auto"/>
        <w:rPr>
          <w:rFonts w:ascii="宋体" w:hAnsi="宋体" w:cs="宋体"/>
          <w:b/>
          <w:iCs/>
          <w:sz w:val="24"/>
          <w:szCs w:val="24"/>
          <w:u w:val="none"/>
        </w:rPr>
      </w:pPr>
      <w:r>
        <w:rPr>
          <w:rFonts w:hint="eastAsia" w:ascii="宋体" w:hAnsi="宋体" w:cs="宋体"/>
          <w:sz w:val="24"/>
          <w:szCs w:val="24"/>
          <w:u w:val="none"/>
        </w:rPr>
        <w:t xml:space="preserve">货物或者在途货物或者交付给第一承运人后的货物毁损、灭失的风险负担详见</w:t>
      </w:r>
      <w:r>
        <w:rPr>
          <w:rFonts w:hint="eastAsia" w:ascii="宋体" w:hAnsi="宋体" w:cs="宋体"/>
          <w:b/>
          <w:iCs/>
          <w:sz w:val="24"/>
          <w:szCs w:val="24"/>
          <w:u w:val="none"/>
        </w:rPr>
        <w:t xml:space="preserve">合同专用条款2</w:t>
      </w:r>
      <w:r>
        <w:rPr>
          <w:rFonts w:ascii="宋体" w:hAnsi="宋体" w:cs="宋体"/>
          <w:b/>
          <w:iCs/>
          <w:sz w:val="24"/>
          <w:szCs w:val="24"/>
          <w:u w:val="none"/>
        </w:rPr>
        <w:t xml:space="preserve">.8</w:t>
      </w:r>
      <w:r>
        <w:rPr>
          <w:rFonts w:hint="eastAsia" w:ascii="宋体" w:hAnsi="宋体" w:cs="宋体"/>
          <w:iCs/>
          <w:sz w:val="24"/>
          <w:szCs w:val="24"/>
          <w:u w:val="none"/>
        </w:rPr>
        <w:t xml:space="preserve">。</w:t>
      </w:r>
      <w:r/>
    </w:p>
    <w:p>
      <w:pPr>
        <w:ind w:firstLine="482"/>
        <w:spacing w:line="360" w:lineRule="auto"/>
        <w:rPr>
          <w:rFonts w:ascii="宋体" w:hAnsi="宋体" w:cs="宋体"/>
          <w:b/>
          <w:sz w:val="24"/>
          <w:szCs w:val="24"/>
          <w:u w:val="none"/>
        </w:rPr>
        <w:outlineLvl w:val="0"/>
      </w:pPr>
      <w:r/>
      <w:bookmarkStart w:id="313" w:name="_Toc14055"/>
      <w:r>
        <w:rPr>
          <w:rFonts w:hint="eastAsia" w:ascii="宋体" w:hAnsi="宋体" w:cs="宋体"/>
          <w:b/>
          <w:sz w:val="24"/>
          <w:szCs w:val="24"/>
          <w:u w:val="none"/>
        </w:rPr>
        <w:t xml:space="preserve">2.9 延迟</w:t>
      </w:r>
      <w:bookmarkEnd w:id="310"/>
      <w:r/>
      <w:bookmarkEnd w:id="311"/>
      <w:r/>
      <w:bookmarkEnd w:id="312"/>
      <w:r/>
      <w:bookmarkEnd w:id="313"/>
      <w:r>
        <w:rPr>
          <w:rFonts w:hint="eastAsia" w:ascii="宋体" w:hAnsi="宋体" w:cs="宋体"/>
          <w:b/>
          <w:sz w:val="24"/>
          <w:szCs w:val="24"/>
          <w:u w:val="none"/>
        </w:rPr>
        <w:t xml:space="preserve">交付</w:t>
      </w:r>
      <w:r/>
    </w:p>
    <w:p>
      <w:pPr>
        <w:ind w:firstLine="480"/>
        <w:spacing w:line="360" w:lineRule="auto"/>
        <w:rPr>
          <w:rFonts w:ascii="宋体" w:hAnsi="宋体" w:cs="宋体"/>
          <w:sz w:val="24"/>
          <w:szCs w:val="24"/>
          <w:u w:val="none"/>
        </w:rPr>
      </w:pPr>
      <w:r>
        <w:rPr>
          <w:rFonts w:hint="eastAsia" w:ascii="宋体" w:hAnsi="宋体"/>
          <w:sz w:val="24"/>
          <w:szCs w:val="24"/>
          <w:u w:val="none"/>
        </w:rPr>
        <w:t xml:space="preserve">甲乙双方签订合同后，乙方应按照合同约定履行合同义务，除不可抗力外，乙方不得延迟交付。</w:t>
      </w:r>
      <w:r>
        <w:rPr>
          <w:rFonts w:hint="eastAsia" w:ascii="宋体" w:hAnsi="宋体" w:cs="宋体"/>
          <w:sz w:val="24"/>
          <w:szCs w:val="24"/>
          <w:u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sz w:val="24"/>
          <w:szCs w:val="24"/>
          <w:u w:val="none"/>
        </w:rPr>
        <w:outlineLvl w:val="0"/>
      </w:pPr>
      <w:r/>
      <w:bookmarkStart w:id="314" w:name="_Toc7502"/>
      <w:r/>
      <w:bookmarkStart w:id="315" w:name="_Ref467378121"/>
      <w:r/>
      <w:bookmarkStart w:id="316" w:name="_Toc259093683"/>
      <w:r/>
      <w:bookmarkStart w:id="317" w:name="_Toc279701254"/>
      <w:r/>
      <w:bookmarkStart w:id="318" w:name="_Toc487900364"/>
      <w:r>
        <w:rPr>
          <w:rFonts w:hint="eastAsia" w:ascii="宋体" w:hAnsi="宋体" w:cs="宋体"/>
          <w:b/>
          <w:sz w:val="24"/>
          <w:szCs w:val="24"/>
          <w:u w:val="none"/>
        </w:rPr>
        <w:t xml:space="preserve">2.10 合同变更</w:t>
      </w:r>
      <w:bookmarkEnd w:id="314"/>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合同继续履行将损害国家利益和社会公共利益的，双方当事人应当以书面形式变更合同。有过错的一方应当承担赔偿责任，双方当事人都有过错的，各自承担相应的责任。</w:t>
      </w:r>
      <w:bookmarkStart w:id="319" w:name="_Toc279701259"/>
      <w:r/>
      <w:bookmarkStart w:id="320" w:name="_Toc487900369"/>
      <w:r/>
      <w:bookmarkStart w:id="321" w:name="_Toc259093688"/>
      <w:r/>
      <w:r/>
    </w:p>
    <w:p>
      <w:pPr>
        <w:ind w:firstLine="482"/>
        <w:spacing w:line="360" w:lineRule="auto"/>
        <w:rPr>
          <w:rFonts w:ascii="宋体" w:hAnsi="宋体" w:cs="宋体"/>
          <w:b/>
          <w:sz w:val="24"/>
          <w:szCs w:val="24"/>
          <w:u w:val="none"/>
        </w:rPr>
        <w:outlineLvl w:val="0"/>
      </w:pPr>
      <w:r/>
      <w:bookmarkStart w:id="322" w:name="_Toc22955"/>
      <w:r/>
      <w:bookmarkStart w:id="323" w:name="_Toc15237"/>
      <w:r/>
      <w:bookmarkStart w:id="324" w:name="_Toc10366"/>
      <w:r>
        <w:rPr>
          <w:rFonts w:hint="eastAsia" w:ascii="宋体" w:hAnsi="宋体" w:cs="宋体"/>
          <w:b/>
          <w:sz w:val="24"/>
          <w:szCs w:val="24"/>
          <w:u w:val="none"/>
        </w:rPr>
        <w:t xml:space="preserve">2.11 合同转让</w:t>
      </w:r>
      <w:bookmarkEnd w:id="319"/>
      <w:r/>
      <w:bookmarkEnd w:id="320"/>
      <w:r/>
      <w:bookmarkEnd w:id="321"/>
      <w:r>
        <w:rPr>
          <w:rFonts w:hint="eastAsia" w:ascii="宋体" w:hAnsi="宋体" w:cs="宋体"/>
          <w:b/>
          <w:sz w:val="24"/>
          <w:szCs w:val="24"/>
          <w:u w:val="none"/>
        </w:rPr>
        <w:t xml:space="preserve">和分包</w:t>
      </w:r>
      <w:bookmarkEnd w:id="322"/>
      <w:r/>
      <w:bookmarkEnd w:id="323"/>
      <w:r/>
      <w:bookmarkEnd w:id="324"/>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zCs w:val="24"/>
          <w:u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2.11.2乙方采取分包方式履行合同的，甲方可直接向分包供应商支付款项。</w:t>
      </w:r>
      <w:r/>
    </w:p>
    <w:p>
      <w:pPr>
        <w:ind w:firstLine="482"/>
        <w:spacing w:line="360" w:lineRule="auto"/>
        <w:rPr>
          <w:rFonts w:ascii="宋体" w:hAnsi="宋体" w:cs="宋体"/>
          <w:b/>
          <w:sz w:val="24"/>
          <w:szCs w:val="24"/>
          <w:u w:val="none"/>
        </w:rPr>
        <w:outlineLvl w:val="0"/>
      </w:pPr>
      <w:r/>
      <w:bookmarkStart w:id="325" w:name="_Toc14066"/>
      <w:r/>
      <w:bookmarkStart w:id="326" w:name="_Toc13566"/>
      <w:r/>
      <w:bookmarkStart w:id="327" w:name="_Toc16508"/>
      <w:r>
        <w:rPr>
          <w:rFonts w:hint="eastAsia" w:ascii="宋体" w:hAnsi="宋体" w:cs="宋体"/>
          <w:b/>
          <w:sz w:val="24"/>
          <w:szCs w:val="24"/>
          <w:u w:val="none"/>
        </w:rPr>
        <w:t xml:space="preserve">2.12 不可抗力</w:t>
      </w:r>
      <w:bookmarkEnd w:id="325"/>
      <w:r/>
      <w:bookmarkEnd w:id="326"/>
      <w:r/>
      <w:bookmarkEnd w:id="327"/>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2.12.2如不可抗力无法消除，致使合同目的无法实现的，双方均有权解除合同，且均不互相索赔。</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2.12.3 因不可抗力致使合同有变更必要的，双方当事人应在</w:t>
      </w:r>
      <w:r>
        <w:rPr>
          <w:rFonts w:hint="eastAsia" w:ascii="宋体" w:hAnsi="宋体" w:cs="宋体"/>
          <w:b/>
          <w:iCs/>
          <w:sz w:val="24"/>
          <w:szCs w:val="24"/>
          <w:u w:val="none"/>
        </w:rPr>
        <w:t xml:space="preserve">合同专用条款2</w:t>
      </w:r>
      <w:r>
        <w:rPr>
          <w:rFonts w:ascii="宋体" w:hAnsi="宋体" w:cs="宋体"/>
          <w:b/>
          <w:iCs/>
          <w:sz w:val="24"/>
          <w:szCs w:val="24"/>
          <w:u w:val="none"/>
        </w:rPr>
        <w:t xml:space="preserve">.12.3</w:t>
      </w:r>
      <w:r>
        <w:rPr>
          <w:rFonts w:hint="eastAsia" w:ascii="宋体" w:hAnsi="宋体" w:cs="宋体"/>
          <w:sz w:val="24"/>
          <w:szCs w:val="24"/>
          <w:u w:val="none"/>
        </w:rPr>
        <w:t xml:space="preserve">约定时间内以书面形式变更合同；</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2.12.4受不可抗力影响的一方在不可抗力发生后，应在</w:t>
      </w:r>
      <w:r>
        <w:rPr>
          <w:rFonts w:hint="eastAsia" w:ascii="宋体" w:hAnsi="宋体" w:cs="宋体"/>
          <w:b/>
          <w:iCs/>
          <w:sz w:val="24"/>
          <w:szCs w:val="24"/>
          <w:u w:val="none"/>
        </w:rPr>
        <w:t xml:space="preserve">合同专用条款2</w:t>
      </w:r>
      <w:r>
        <w:rPr>
          <w:rFonts w:ascii="宋体" w:hAnsi="宋体" w:cs="宋体"/>
          <w:b/>
          <w:iCs/>
          <w:sz w:val="24"/>
          <w:szCs w:val="24"/>
          <w:u w:val="none"/>
        </w:rPr>
        <w:t xml:space="preserve">.12.4</w:t>
      </w:r>
      <w:r>
        <w:rPr>
          <w:rFonts w:hint="eastAsia" w:ascii="宋体" w:hAnsi="宋体" w:cs="宋体"/>
          <w:sz w:val="24"/>
          <w:szCs w:val="24"/>
          <w:u w:val="none"/>
        </w:rPr>
        <w:t xml:space="preserve">约定时间内以书面形式通知对方当事人，并在</w:t>
      </w:r>
      <w:r>
        <w:rPr>
          <w:rFonts w:hint="eastAsia" w:ascii="宋体" w:hAnsi="宋体" w:cs="宋体"/>
          <w:b/>
          <w:iCs/>
          <w:sz w:val="24"/>
          <w:szCs w:val="24"/>
          <w:u w:val="none"/>
        </w:rPr>
        <w:t xml:space="preserve">合同专用条款2</w:t>
      </w:r>
      <w:r>
        <w:rPr>
          <w:rFonts w:ascii="宋体" w:hAnsi="宋体" w:cs="宋体"/>
          <w:b/>
          <w:iCs/>
          <w:sz w:val="24"/>
          <w:szCs w:val="24"/>
          <w:u w:val="none"/>
        </w:rPr>
        <w:t xml:space="preserve">.12.4</w:t>
      </w:r>
      <w:r>
        <w:rPr>
          <w:rFonts w:hint="eastAsia" w:ascii="宋体" w:hAnsi="宋体" w:cs="宋体"/>
          <w:sz w:val="24"/>
          <w:szCs w:val="24"/>
          <w:u w:val="none"/>
        </w:rPr>
        <w:t xml:space="preserve">约定时间内，将有关部门出具的证明文件送达对方当事人。</w:t>
      </w:r>
      <w:r/>
    </w:p>
    <w:p>
      <w:pPr>
        <w:ind w:firstLine="482"/>
        <w:spacing w:line="360" w:lineRule="auto"/>
        <w:rPr>
          <w:rFonts w:ascii="宋体" w:hAnsi="宋体" w:cs="宋体"/>
          <w:b/>
          <w:sz w:val="24"/>
          <w:szCs w:val="24"/>
          <w:u w:val="none"/>
        </w:rPr>
        <w:outlineLvl w:val="0"/>
      </w:pPr>
      <w:r/>
      <w:bookmarkStart w:id="328" w:name="_Toc30676"/>
      <w:r/>
      <w:bookmarkStart w:id="329" w:name="_Toc487900365"/>
      <w:r/>
      <w:bookmarkStart w:id="330" w:name="_Toc6969"/>
      <w:r/>
      <w:bookmarkStart w:id="331" w:name="_Toc279701255"/>
      <w:r/>
      <w:bookmarkStart w:id="332" w:name="_Toc689"/>
      <w:r/>
      <w:bookmarkStart w:id="333" w:name="_Toc259093684"/>
      <w:r>
        <w:rPr>
          <w:rFonts w:hint="eastAsia" w:ascii="宋体" w:hAnsi="宋体" w:cs="宋体"/>
          <w:b/>
          <w:sz w:val="24"/>
          <w:szCs w:val="24"/>
          <w:u w:val="none"/>
        </w:rPr>
        <w:t xml:space="preserve">2.13 税费</w:t>
      </w:r>
      <w:bookmarkEnd w:id="328"/>
      <w:r/>
      <w:bookmarkEnd w:id="329"/>
      <w:r/>
      <w:bookmarkEnd w:id="330"/>
      <w:r/>
      <w:bookmarkEnd w:id="331"/>
      <w:r/>
      <w:bookmarkEnd w:id="332"/>
      <w:r/>
      <w:bookmarkEnd w:id="333"/>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与合同有关的一切税费，均按照中华人民共和国法律的相关规定。</w:t>
      </w:r>
      <w:r/>
    </w:p>
    <w:p>
      <w:pPr>
        <w:ind w:firstLine="482"/>
        <w:spacing w:line="360" w:lineRule="auto"/>
        <w:rPr>
          <w:rFonts w:ascii="宋体" w:hAnsi="宋体" w:cs="宋体"/>
          <w:b/>
          <w:sz w:val="24"/>
          <w:szCs w:val="24"/>
          <w:u w:val="none"/>
        </w:rPr>
        <w:outlineLvl w:val="0"/>
      </w:pPr>
      <w:r/>
      <w:bookmarkStart w:id="334" w:name="_Toc279701258"/>
      <w:r/>
      <w:bookmarkStart w:id="335" w:name="_Toc8298"/>
      <w:r/>
      <w:bookmarkStart w:id="336" w:name="_Toc487900368"/>
      <w:r/>
      <w:bookmarkStart w:id="337" w:name="_Toc259093687"/>
      <w:r/>
      <w:bookmarkStart w:id="338" w:name="_Toc16959"/>
      <w:r/>
      <w:bookmarkStart w:id="339" w:name="_Toc7102"/>
      <w:r>
        <w:rPr>
          <w:rFonts w:hint="eastAsia" w:ascii="宋体" w:hAnsi="宋体" w:cs="宋体"/>
          <w:b/>
          <w:sz w:val="24"/>
          <w:szCs w:val="24"/>
          <w:u w:val="none"/>
        </w:rPr>
        <w:t xml:space="preserve">2.14乙方破产</w:t>
      </w:r>
      <w:bookmarkEnd w:id="334"/>
      <w:r/>
      <w:bookmarkEnd w:id="335"/>
      <w:r/>
      <w:bookmarkEnd w:id="336"/>
      <w:r/>
      <w:bookmarkEnd w:id="337"/>
      <w:r/>
      <w:bookmarkEnd w:id="338"/>
      <w:r/>
      <w:bookmarkEnd w:id="339"/>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sz w:val="24"/>
          <w:szCs w:val="24"/>
          <w:u w:val="none"/>
        </w:rPr>
        <w:outlineLvl w:val="0"/>
      </w:pPr>
      <w:r/>
      <w:bookmarkStart w:id="340" w:name="_Toc29333"/>
      <w:r/>
      <w:bookmarkStart w:id="341" w:name="_Toc15387"/>
      <w:r/>
      <w:bookmarkStart w:id="342" w:name="_Toc6134"/>
      <w:r>
        <w:rPr>
          <w:rFonts w:hint="eastAsia" w:ascii="宋体" w:hAnsi="宋体" w:cs="宋体"/>
          <w:b/>
          <w:sz w:val="24"/>
          <w:szCs w:val="24"/>
          <w:u w:val="none"/>
        </w:rPr>
        <w:t xml:space="preserve">2.15 合同中止、终止</w:t>
      </w:r>
      <w:bookmarkEnd w:id="340"/>
      <w:r/>
      <w:bookmarkEnd w:id="341"/>
      <w:r/>
      <w:bookmarkEnd w:id="342"/>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2.15.1 双方当事人不得擅自中止或者终止合同；</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sz w:val="24"/>
          <w:szCs w:val="24"/>
          <w:u w:val="none"/>
        </w:rPr>
        <w:outlineLvl w:val="0"/>
      </w:pPr>
      <w:r/>
      <w:bookmarkStart w:id="343" w:name="_Toc6596"/>
      <w:r/>
      <w:bookmarkStart w:id="344" w:name="_Toc1125"/>
      <w:r/>
      <w:bookmarkStart w:id="345" w:name="_Toc14563"/>
      <w:r>
        <w:rPr>
          <w:rFonts w:hint="eastAsia" w:ascii="宋体" w:hAnsi="宋体" w:cs="宋体"/>
          <w:b/>
          <w:sz w:val="24"/>
          <w:szCs w:val="24"/>
          <w:u w:val="none"/>
        </w:rPr>
        <w:t xml:space="preserve">2.16检验和验收</w:t>
      </w:r>
      <w:bookmarkEnd w:id="343"/>
      <w:r/>
      <w:bookmarkEnd w:id="344"/>
      <w:r/>
      <w:bookmarkEnd w:id="345"/>
      <w:r/>
      <w:r/>
    </w:p>
    <w:p>
      <w:pPr>
        <w:ind w:firstLine="480"/>
        <w:spacing w:line="360" w:lineRule="auto"/>
        <w:tabs>
          <w:tab w:val="left" w:pos="360" w:leader="none"/>
          <w:tab w:val="left" w:pos="540" w:leader="none"/>
          <w:tab w:val="left" w:pos="1080" w:leader="none"/>
        </w:tabs>
        <w:rPr>
          <w:rFonts w:ascii="宋体" w:hAnsi="宋体" w:cs="宋体"/>
          <w:sz w:val="24"/>
          <w:szCs w:val="24"/>
          <w:u w:val="none"/>
        </w:rPr>
      </w:pPr>
      <w:r>
        <w:rPr>
          <w:rFonts w:hint="eastAsia" w:ascii="宋体" w:hAnsi="宋体" w:cs="宋体"/>
          <w:sz w:val="24"/>
          <w:szCs w:val="24"/>
          <w:u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szCs w:val="24"/>
          <w:u w:val="none"/>
        </w:rPr>
        <w:t xml:space="preserve">合同专用条款2</w:t>
      </w:r>
      <w:r>
        <w:rPr>
          <w:rFonts w:ascii="宋体" w:hAnsi="宋体" w:cs="宋体"/>
          <w:b/>
          <w:iCs/>
          <w:sz w:val="24"/>
          <w:szCs w:val="24"/>
          <w:u w:val="none"/>
        </w:rPr>
        <w:t xml:space="preserve">.16.1</w:t>
      </w:r>
      <w:r>
        <w:rPr>
          <w:rFonts w:hint="eastAsia" w:ascii="宋体" w:hAnsi="宋体" w:cs="宋体"/>
          <w:b/>
          <w:iCs/>
          <w:sz w:val="24"/>
          <w:szCs w:val="24"/>
          <w:u w:val="none"/>
        </w:rPr>
        <w:t xml:space="preserve">（</w:t>
      </w:r>
      <w:r>
        <w:rPr>
          <w:rFonts w:hint="eastAsia" w:ascii="宋体" w:hAnsi="宋体" w:cs="宋体"/>
          <w:b/>
          <w:i/>
          <w:sz w:val="24"/>
          <w:szCs w:val="24"/>
          <w:u w:val="none"/>
        </w:rPr>
        <w:t xml:space="preserve">提醒：必须填写</w:t>
      </w:r>
      <w:r>
        <w:rPr>
          <w:rFonts w:hint="eastAsia" w:ascii="宋体" w:hAnsi="宋体" w:cs="宋体"/>
          <w:b/>
          <w:iCs/>
          <w:sz w:val="24"/>
          <w:szCs w:val="24"/>
          <w:u w:val="none"/>
        </w:rPr>
        <w:t xml:space="preserve">）</w:t>
      </w:r>
      <w:r>
        <w:rPr>
          <w:rFonts w:hint="eastAsia" w:ascii="宋体" w:hAnsi="宋体" w:cs="宋体"/>
          <w:sz w:val="24"/>
          <w:szCs w:val="24"/>
          <w:u w:val="none"/>
        </w:rPr>
        <w:t xml:space="preserve">约定时间内组织验收，甲</w:t>
      </w:r>
      <w:r>
        <w:rPr>
          <w:rFonts w:hint="eastAsia" w:ascii="宋体" w:hAnsi="宋体" w:cs="宋体"/>
          <w:sz w:val="24"/>
          <w:szCs w:val="24"/>
          <w:u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sz w:val="24"/>
          <w:szCs w:val="24"/>
          <w:u w:val="none"/>
        </w:rPr>
      </w:pPr>
      <w:r>
        <w:rPr>
          <w:rFonts w:hint="eastAsia" w:ascii="宋体" w:hAnsi="宋体" w:cs="宋体"/>
          <w:sz w:val="24"/>
          <w:szCs w:val="24"/>
          <w:u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sz w:val="24"/>
          <w:szCs w:val="24"/>
          <w:u w:val="none"/>
        </w:rPr>
      </w:pPr>
      <w:r>
        <w:rPr>
          <w:rFonts w:hint="eastAsia" w:ascii="宋体" w:hAnsi="宋体" w:cs="宋体"/>
          <w:sz w:val="24"/>
          <w:szCs w:val="24"/>
          <w:u w:val="none"/>
        </w:rPr>
        <w:t xml:space="preserve">2.16.3 检验和验收标准、程序等具体内容以及前述验收书的效力详见</w:t>
      </w:r>
      <w:r>
        <w:rPr>
          <w:rFonts w:hint="eastAsia" w:ascii="宋体" w:hAnsi="宋体" w:cs="宋体"/>
          <w:b/>
          <w:iCs/>
          <w:sz w:val="24"/>
          <w:szCs w:val="24"/>
          <w:u w:val="none"/>
        </w:rPr>
        <w:t xml:space="preserve">合同专用条款2</w:t>
      </w:r>
      <w:r>
        <w:rPr>
          <w:rFonts w:ascii="宋体" w:hAnsi="宋体" w:cs="宋体"/>
          <w:b/>
          <w:iCs/>
          <w:sz w:val="24"/>
          <w:szCs w:val="24"/>
          <w:u w:val="none"/>
        </w:rPr>
        <w:t xml:space="preserve">.16.3</w:t>
      </w:r>
      <w:r>
        <w:rPr>
          <w:rFonts w:hint="eastAsia" w:ascii="宋体" w:hAnsi="宋体" w:cs="宋体"/>
          <w:iCs/>
          <w:sz w:val="24"/>
          <w:szCs w:val="24"/>
          <w:u w:val="none"/>
        </w:rPr>
        <w:t xml:space="preserve">。</w:t>
      </w:r>
      <w:r>
        <w:rPr>
          <w:rFonts w:hint="eastAsia" w:ascii="宋体" w:hAnsi="宋体" w:cs="宋体"/>
          <w:i/>
          <w:sz w:val="24"/>
          <w:szCs w:val="24"/>
          <w:u w:val="none"/>
        </w:rPr>
        <w:t xml:space="preserve">（提醒：必须填写）</w:t>
      </w:r>
      <w:bookmarkEnd w:id="315"/>
      <w:r/>
      <w:bookmarkEnd w:id="316"/>
      <w:r/>
      <w:bookmarkEnd w:id="317"/>
      <w:r/>
      <w:bookmarkEnd w:id="318"/>
      <w:r/>
      <w:r/>
    </w:p>
    <w:p>
      <w:pPr>
        <w:ind w:firstLine="482"/>
        <w:spacing w:line="360" w:lineRule="auto"/>
        <w:rPr>
          <w:rFonts w:ascii="宋体" w:hAnsi="宋体" w:cs="宋体"/>
          <w:b/>
          <w:sz w:val="24"/>
          <w:szCs w:val="24"/>
          <w:u w:val="none"/>
        </w:rPr>
        <w:outlineLvl w:val="0"/>
      </w:pPr>
      <w:r/>
      <w:bookmarkStart w:id="346" w:name="_Toc279701261"/>
      <w:r/>
      <w:bookmarkStart w:id="347" w:name="_Toc487900371"/>
      <w:r/>
      <w:bookmarkStart w:id="348" w:name="_Toc259093690"/>
      <w:r/>
      <w:bookmarkStart w:id="349" w:name="_Toc11284"/>
      <w:r/>
      <w:bookmarkStart w:id="350" w:name="_Toc19604"/>
      <w:r/>
      <w:bookmarkStart w:id="351" w:name="_Toc25182"/>
      <w:r>
        <w:rPr>
          <w:rFonts w:hint="eastAsia" w:ascii="宋体" w:hAnsi="宋体" w:cs="宋体"/>
          <w:b/>
          <w:sz w:val="24"/>
          <w:szCs w:val="24"/>
          <w:u w:val="none"/>
        </w:rPr>
        <w:t xml:space="preserve">2.17 通知</w:t>
      </w:r>
      <w:bookmarkEnd w:id="346"/>
      <w:r/>
      <w:bookmarkEnd w:id="347"/>
      <w:r/>
      <w:bookmarkEnd w:id="348"/>
      <w:r>
        <w:rPr>
          <w:rFonts w:hint="eastAsia" w:ascii="宋体" w:hAnsi="宋体" w:cs="宋体"/>
          <w:b/>
          <w:sz w:val="24"/>
          <w:szCs w:val="24"/>
          <w:u w:val="none"/>
        </w:rPr>
        <w:t xml:space="preserve">和送达</w:t>
      </w:r>
      <w:bookmarkEnd w:id="349"/>
      <w:r/>
      <w:bookmarkEnd w:id="350"/>
      <w:r/>
      <w:bookmarkEnd w:id="351"/>
      <w:r/>
      <w:r/>
    </w:p>
    <w:p>
      <w:pPr>
        <w:ind w:firstLine="480"/>
        <w:spacing w:line="360" w:lineRule="auto"/>
        <w:rPr>
          <w:rFonts w:ascii="宋体" w:hAnsi="宋体" w:cs="宋体"/>
          <w:sz w:val="24"/>
          <w:szCs w:val="24"/>
          <w:u w:val="none"/>
        </w:rPr>
      </w:pPr>
      <w:r/>
      <w:bookmarkStart w:id="352" w:name="_Toc3135"/>
      <w:r/>
      <w:bookmarkStart w:id="353" w:name="_Toc6698"/>
      <w:r/>
      <w:bookmarkStart w:id="354" w:name="_Toc487900372"/>
      <w:r/>
      <w:bookmarkStart w:id="355" w:name="_Toc279701262"/>
      <w:r/>
      <w:bookmarkStart w:id="356" w:name="_Toc259093691"/>
      <w:r>
        <w:rPr>
          <w:rFonts w:hint="eastAsia" w:ascii="宋体" w:hAnsi="宋体" w:cs="宋体"/>
          <w:sz w:val="24"/>
          <w:szCs w:val="24"/>
          <w:u w:val="none"/>
        </w:rPr>
        <w:t xml:space="preserve">2.17.1任何一方因履行合同而以合同第一部分尾部所列明的地址或电子邮件发出的所有通知、文件、材料，均视为已向对方当事人送达；任何一方变更上述送达方式或者地址的，应于3个工作日内书面通知对方当事人，在对方当事人收到有关变更通知之前，变更前的约定送达方式或者地址仍视为有效。</w:t>
      </w:r>
      <w:bookmarkEnd w:id="352"/>
      <w:r/>
      <w:bookmarkEnd w:id="353"/>
      <w:r/>
      <w:r/>
    </w:p>
    <w:p>
      <w:pPr>
        <w:ind w:firstLine="480"/>
        <w:spacing w:line="360" w:lineRule="auto"/>
        <w:rPr>
          <w:rFonts w:ascii="宋体" w:hAnsi="宋体" w:cs="宋体"/>
          <w:sz w:val="24"/>
          <w:szCs w:val="24"/>
          <w:u w:val="none"/>
        </w:rPr>
      </w:pPr>
      <w:r/>
      <w:bookmarkStart w:id="357" w:name="_Toc23294"/>
      <w:r/>
      <w:bookmarkStart w:id="358" w:name="_Toc23128"/>
      <w:r>
        <w:rPr>
          <w:rFonts w:hint="eastAsia" w:ascii="宋体" w:hAnsi="宋体" w:cs="宋体"/>
          <w:sz w:val="24"/>
          <w:szCs w:val="24"/>
          <w:u w:val="none"/>
        </w:rPr>
        <w:t xml:space="preserve">2.17.2</w:t>
      </w:r>
      <w:bookmarkEnd w:id="357"/>
      <w:r/>
      <w:bookmarkEnd w:id="358"/>
      <w:r>
        <w:rPr>
          <w:rFonts w:hint="eastAsia" w:ascii="宋体" w:hAnsi="宋体" w:cs="宋体"/>
          <w:sz w:val="24"/>
          <w:szCs w:val="24"/>
          <w:u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sz w:val="24"/>
          <w:szCs w:val="24"/>
          <w:u w:val="none"/>
        </w:rPr>
        <w:outlineLvl w:val="0"/>
      </w:pPr>
      <w:r/>
      <w:bookmarkStart w:id="359" w:name="_Toc4355"/>
      <w:r/>
      <w:bookmarkStart w:id="360" w:name="_Toc30599"/>
      <w:r/>
      <w:bookmarkStart w:id="361" w:name="_Toc18540"/>
      <w:r>
        <w:rPr>
          <w:rFonts w:hint="eastAsia" w:ascii="宋体" w:hAnsi="宋体" w:cs="宋体"/>
          <w:b/>
          <w:sz w:val="24"/>
          <w:szCs w:val="24"/>
          <w:u w:val="none"/>
        </w:rPr>
        <w:t xml:space="preserve">2.18 计量单位</w:t>
      </w:r>
      <w:bookmarkEnd w:id="354"/>
      <w:r/>
      <w:bookmarkEnd w:id="355"/>
      <w:r/>
      <w:bookmarkEnd w:id="356"/>
      <w:r/>
      <w:bookmarkEnd w:id="359"/>
      <w:r/>
      <w:bookmarkEnd w:id="360"/>
      <w:r/>
      <w:bookmarkEnd w:id="361"/>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除技术规范中另有规定外,合同的计量单位均使用国家法定计量单位。</w:t>
      </w:r>
      <w:r/>
    </w:p>
    <w:p>
      <w:pPr>
        <w:ind w:firstLine="482"/>
        <w:spacing w:line="360" w:lineRule="auto"/>
        <w:rPr>
          <w:rFonts w:ascii="宋体" w:hAnsi="宋体" w:cs="宋体"/>
          <w:b/>
          <w:sz w:val="24"/>
          <w:szCs w:val="24"/>
          <w:u w:val="none"/>
        </w:rPr>
        <w:outlineLvl w:val="0"/>
      </w:pPr>
      <w:r/>
      <w:bookmarkStart w:id="362" w:name="_Toc10330"/>
      <w:r/>
      <w:bookmarkStart w:id="363" w:name="_Toc487900373"/>
      <w:r/>
      <w:bookmarkStart w:id="364" w:name="_Toc279701263"/>
      <w:r/>
      <w:bookmarkStart w:id="365" w:name="_Toc12773"/>
      <w:r/>
      <w:bookmarkStart w:id="366" w:name="_Toc18567"/>
      <w:r/>
      <w:bookmarkStart w:id="367" w:name="_Toc259093692"/>
      <w:r>
        <w:rPr>
          <w:rFonts w:hint="eastAsia" w:ascii="宋体" w:hAnsi="宋体" w:cs="宋体"/>
          <w:b/>
          <w:sz w:val="24"/>
          <w:szCs w:val="24"/>
          <w:u w:val="none"/>
        </w:rPr>
        <w:t xml:space="preserve">2.19 合同使用的文字和适用的法律</w:t>
      </w:r>
      <w:bookmarkEnd w:id="362"/>
      <w:r/>
      <w:bookmarkEnd w:id="363"/>
      <w:r/>
      <w:bookmarkEnd w:id="364"/>
      <w:r/>
      <w:bookmarkEnd w:id="365"/>
      <w:r/>
      <w:bookmarkEnd w:id="366"/>
      <w:r/>
      <w:bookmarkEnd w:id="367"/>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2.19.1 合同使用汉语书就、变更和解释；</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2.19.2 合同适用中华人民共和国法律。</w:t>
      </w:r>
      <w:r/>
    </w:p>
    <w:p>
      <w:pPr>
        <w:ind w:firstLine="482"/>
        <w:spacing w:line="360" w:lineRule="auto"/>
        <w:rPr>
          <w:rFonts w:ascii="宋体" w:hAnsi="宋体" w:cs="宋体"/>
          <w:b/>
          <w:bCs/>
          <w:sz w:val="24"/>
          <w:szCs w:val="24"/>
          <w:u w:val="none"/>
        </w:rPr>
      </w:pPr>
      <w:r>
        <w:rPr>
          <w:rFonts w:hint="eastAsia" w:ascii="宋体" w:hAnsi="宋体" w:cs="宋体"/>
          <w:b/>
          <w:bCs/>
          <w:sz w:val="24"/>
          <w:szCs w:val="24"/>
          <w:u w:val="none"/>
        </w:rPr>
        <w:t xml:space="preserve">2</w:t>
      </w:r>
      <w:r>
        <w:rPr>
          <w:rFonts w:ascii="宋体" w:hAnsi="宋体" w:cs="宋体"/>
          <w:b/>
          <w:bCs/>
          <w:sz w:val="24"/>
          <w:szCs w:val="24"/>
          <w:u w:val="none"/>
        </w:rPr>
        <w:t xml:space="preserve">.20</w:t>
      </w:r>
      <w:r>
        <w:rPr>
          <w:rFonts w:hint="eastAsia" w:ascii="宋体" w:hAnsi="宋体" w:cs="宋体"/>
          <w:b/>
          <w:bCs/>
          <w:sz w:val="24"/>
          <w:szCs w:val="24"/>
          <w:u w:val="none"/>
        </w:rPr>
        <w:t xml:space="preserve">政府采购信用融资</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乙方在签订政府采购合同时如遇到资金困难，甲方应当按照</w:t>
      </w:r>
      <w:r>
        <w:rPr>
          <w:rFonts w:hint="eastAsia" w:ascii="宋体" w:hAnsi="宋体" w:cs="楷体"/>
          <w:sz w:val="24"/>
          <w:szCs w:val="24"/>
          <w:u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sz w:val="24"/>
          <w:szCs w:val="24"/>
          <w:u w:val="none"/>
        </w:rPr>
        <w:outlineLvl w:val="0"/>
      </w:pPr>
      <w:r/>
      <w:bookmarkStart w:id="368" w:name="_Toc14001"/>
      <w:r/>
      <w:bookmarkStart w:id="369" w:name="_Toc6885"/>
      <w:r/>
      <w:bookmarkStart w:id="370" w:name="_Toc19890"/>
      <w:r>
        <w:rPr>
          <w:rFonts w:hint="eastAsia" w:ascii="宋体" w:hAnsi="宋体" w:cs="宋体"/>
          <w:b/>
          <w:sz w:val="24"/>
          <w:szCs w:val="24"/>
          <w:u w:val="none"/>
        </w:rPr>
        <w:t xml:space="preserve">2.2</w:t>
      </w:r>
      <w:r>
        <w:rPr>
          <w:rFonts w:ascii="宋体" w:hAnsi="宋体" w:cs="宋体"/>
          <w:b/>
          <w:sz w:val="24"/>
          <w:szCs w:val="24"/>
          <w:u w:val="none"/>
        </w:rPr>
        <w:t xml:space="preserve">1</w:t>
      </w:r>
      <w:r>
        <w:rPr>
          <w:rFonts w:hint="eastAsia" w:ascii="宋体" w:hAnsi="宋体" w:cs="宋体"/>
          <w:b/>
          <w:sz w:val="24"/>
          <w:szCs w:val="24"/>
          <w:u w:val="none"/>
        </w:rPr>
        <w:t xml:space="preserve"> 合同份数</w:t>
      </w:r>
      <w:bookmarkEnd w:id="368"/>
      <w:r/>
      <w:bookmarkEnd w:id="369"/>
      <w:r/>
      <w:bookmarkEnd w:id="370"/>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合同份数按</w:t>
      </w:r>
      <w:r>
        <w:rPr>
          <w:rFonts w:hint="eastAsia" w:ascii="宋体" w:hAnsi="宋体" w:cs="宋体"/>
          <w:b/>
          <w:iCs/>
          <w:sz w:val="24"/>
          <w:szCs w:val="24"/>
          <w:u w:val="none"/>
        </w:rPr>
        <w:t xml:space="preserve">合同专用条款2</w:t>
      </w:r>
      <w:r>
        <w:rPr>
          <w:rFonts w:ascii="宋体" w:hAnsi="宋体" w:cs="宋体"/>
          <w:b/>
          <w:iCs/>
          <w:sz w:val="24"/>
          <w:szCs w:val="24"/>
          <w:u w:val="none"/>
        </w:rPr>
        <w:t xml:space="preserve">.2</w:t>
      </w:r>
      <w:r>
        <w:rPr>
          <w:rFonts w:hint="eastAsia" w:ascii="宋体" w:hAnsi="宋体" w:cs="宋体"/>
          <w:b/>
          <w:iCs/>
          <w:sz w:val="24"/>
          <w:szCs w:val="24"/>
          <w:u w:val="none"/>
        </w:rPr>
        <w:t xml:space="preserve">1</w:t>
      </w:r>
      <w:r>
        <w:rPr>
          <w:rFonts w:hint="eastAsia" w:ascii="宋体" w:hAnsi="宋体" w:cs="宋体"/>
          <w:sz w:val="24"/>
          <w:szCs w:val="24"/>
          <w:u w:val="none"/>
        </w:rPr>
        <w:t xml:space="preserve">规定，每份均具有同等法律效力。</w:t>
      </w:r>
      <w:r/>
    </w:p>
    <w:p>
      <w:pPr>
        <w:ind w:firstLine="2514"/>
        <w:spacing w:line="360" w:lineRule="auto"/>
        <w:rPr>
          <w:rFonts w:ascii="宋体" w:hAnsi="宋体" w:cs="宋体"/>
          <w:b/>
          <w:sz w:val="28"/>
          <w:szCs w:val="28"/>
          <w:u w:val="none"/>
        </w:rPr>
        <w:outlineLvl w:val="0"/>
      </w:pPr>
      <w:r>
        <w:rPr>
          <w:rFonts w:hint="eastAsia" w:ascii="宋体" w:hAnsi="宋体" w:cs="宋体"/>
          <w:szCs w:val="24"/>
          <w:u w:val="none"/>
        </w:rPr>
        <w:br w:type="page" w:clear="all"/>
      </w:r>
      <w:r>
        <w:rPr>
          <w:rFonts w:hint="eastAsia" w:ascii="宋体" w:hAnsi="宋体" w:cs="宋体"/>
          <w:b/>
          <w:color w:val="ff0000"/>
          <w:sz w:val="32"/>
          <w:szCs w:val="20"/>
          <w:u w:val="none"/>
        </w:rPr>
        <w:t xml:space="preserve"> </w:t>
      </w:r>
      <w:r>
        <w:rPr>
          <w:rFonts w:hint="eastAsia" w:ascii="宋体" w:hAnsi="宋体" w:cs="宋体"/>
          <w:b/>
          <w:sz w:val="28"/>
          <w:szCs w:val="28"/>
          <w:u w:val="none"/>
        </w:rPr>
        <w:t xml:space="preserve">第三部分</w:t>
      </w:r>
      <w:r>
        <w:rPr>
          <w:rFonts w:hint="eastAsia" w:ascii="宋体" w:hAnsi="宋体" w:cs="宋体"/>
          <w:b/>
          <w:color w:val="ff0000"/>
          <w:sz w:val="28"/>
          <w:szCs w:val="28"/>
          <w:u w:val="none"/>
        </w:rPr>
        <w:t xml:space="preserve"> </w:t>
      </w:r>
      <w:r>
        <w:rPr>
          <w:rFonts w:hint="eastAsia" w:ascii="宋体" w:hAnsi="宋体" w:cs="宋体"/>
          <w:b/>
          <w:sz w:val="28"/>
          <w:szCs w:val="28"/>
          <w:u w:val="none"/>
        </w:rPr>
        <w:t xml:space="preserve"> 合同专用条款</w:t>
      </w:r>
      <w:r/>
    </w:p>
    <w:p>
      <w:pPr>
        <w:ind w:firstLine="480"/>
        <w:spacing w:line="360" w:lineRule="auto"/>
        <w:rPr>
          <w:rFonts w:ascii="宋体" w:hAnsi="宋体" w:cs="楷体"/>
          <w:sz w:val="24"/>
          <w:szCs w:val="24"/>
          <w:u w:val="none"/>
        </w:rPr>
      </w:pPr>
      <w:r>
        <w:rPr>
          <w:rFonts w:hint="eastAsia" w:ascii="宋体" w:hAnsi="宋体" w:cs="楷体"/>
          <w:sz w:val="24"/>
          <w:szCs w:val="24"/>
          <w:u w:val="none"/>
        </w:rPr>
        <w:t xml:space="preserve">本部分是对前两</w:t>
      </w:r>
      <w:bookmarkStart w:id="371" w:name="_Hlk136502841"/>
      <w:r>
        <w:rPr>
          <w:rFonts w:hint="eastAsia" w:ascii="宋体" w:hAnsi="宋体" w:cs="楷体"/>
          <w:sz w:val="24"/>
          <w:szCs w:val="24"/>
          <w:u w:val="none"/>
        </w:rPr>
        <w:t xml:space="preserve">部分</w:t>
      </w:r>
      <w:bookmarkEnd w:id="371"/>
      <w:r>
        <w:rPr>
          <w:rFonts w:hint="eastAsia" w:ascii="宋体" w:hAnsi="宋体" w:cs="楷体"/>
          <w:sz w:val="24"/>
          <w:szCs w:val="24"/>
          <w:u w:val="non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778"/>
        <w:tblW w:w="4855" w:type="pct"/>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73"/>
        <w:gridCol w:w="8276"/>
      </w:tblGrid>
      <w:tr>
        <w:trPr>
          <w:trHeight w:val="391"/>
        </w:trPr>
        <w:tc>
          <w:tcPr>
            <w:tcW w:w="873" w:type="dxa"/>
            <w:vAlign w:val="center"/>
            <w:textDirection w:val="lrTb"/>
            <w:noWrap w:val="false"/>
          </w:tcPr>
          <w:p>
            <w:pPr>
              <w:jc w:val="center"/>
              <w:spacing w:line="360" w:lineRule="auto"/>
              <w:rPr>
                <w:rFonts w:ascii="宋体" w:hAnsi="宋体" w:cs="宋体"/>
                <w:b/>
                <w:sz w:val="24"/>
                <w:szCs w:val="24"/>
                <w:u w:val="none"/>
              </w:rPr>
            </w:pPr>
            <w:r>
              <w:rPr>
                <w:rFonts w:hint="eastAsia" w:ascii="宋体" w:hAnsi="宋体" w:cs="宋体"/>
                <w:b/>
                <w:sz w:val="24"/>
                <w:szCs w:val="24"/>
                <w:u w:val="none"/>
              </w:rPr>
              <w:t xml:space="preserve">条款号</w:t>
            </w:r>
            <w:r/>
          </w:p>
        </w:tc>
        <w:tc>
          <w:tcPr>
            <w:tcW w:w="8276" w:type="dxa"/>
            <w:vAlign w:val="center"/>
            <w:textDirection w:val="lrTb"/>
            <w:noWrap w:val="false"/>
          </w:tcPr>
          <w:p>
            <w:pPr>
              <w:jc w:val="center"/>
              <w:spacing w:line="360" w:lineRule="auto"/>
              <w:rPr>
                <w:rFonts w:ascii="宋体" w:hAnsi="宋体" w:cs="宋体"/>
                <w:b/>
                <w:sz w:val="24"/>
                <w:szCs w:val="24"/>
                <w:u w:val="none"/>
              </w:rPr>
            </w:pPr>
            <w:r>
              <w:rPr>
                <w:rFonts w:hint="eastAsia" w:ascii="宋体" w:hAnsi="宋体" w:cs="宋体"/>
                <w:b/>
                <w:sz w:val="24"/>
                <w:szCs w:val="24"/>
                <w:u w:val="none"/>
              </w:rPr>
              <w:t xml:space="preserve">约定内容</w:t>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4</w:t>
            </w:r>
            <w:r>
              <w:rPr>
                <w:rFonts w:hint="eastAsia" w:ascii="宋体" w:hAnsi="宋体" w:cs="宋体"/>
                <w:sz w:val="24"/>
                <w:szCs w:val="24"/>
                <w:u w:val="none"/>
              </w:rPr>
              <w:t xml:space="preserve">.2</w:t>
            </w:r>
            <w:r/>
          </w:p>
        </w:tc>
        <w:tc>
          <w:tcPr>
            <w:shd w:val="clear" w:color="auto" w:fill="auto"/>
            <w:tcW w:w="8276" w:type="dxa"/>
            <w:vAlign w:val="center"/>
            <w:textDirection w:val="lrTb"/>
            <w:noWrap w:val="false"/>
          </w:tcPr>
          <w:p>
            <w:pPr>
              <w:spacing w:line="360" w:lineRule="auto"/>
              <w:rPr>
                <w:rFonts w:ascii="宋体" w:hAnsi="宋体" w:eastAsia="宋体" w:cs="宋体"/>
                <w:color w:val="000000" w:themeColor="text1"/>
                <w:sz w:val="24"/>
                <w:szCs w:val="22"/>
                <w:u w:val="none"/>
                <w:lang w:val="en-US" w:eastAsia="zh-CN" w:bidi="ar-SA"/>
              </w:rPr>
            </w:pPr>
            <w:r>
              <w:rPr>
                <w:rFonts w:hint="eastAsia" w:ascii="宋体" w:hAnsi="宋体"/>
                <w:color w:val="000000" w:themeColor="text1"/>
                <w:sz w:val="24"/>
                <w:u w:val="none"/>
              </w:rPr>
              <w:t xml:space="preserve">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5</w:t>
            </w:r>
            <w:r>
              <w:rPr>
                <w:rFonts w:hint="eastAsia" w:ascii="宋体" w:hAnsi="宋体" w:cs="宋体"/>
                <w:sz w:val="24"/>
                <w:szCs w:val="24"/>
                <w:u w:val="none"/>
              </w:rPr>
              <w:t xml:space="preserve">.</w:t>
            </w:r>
            <w:r>
              <w:rPr>
                <w:rFonts w:ascii="宋体" w:hAnsi="宋体" w:cs="宋体"/>
                <w:sz w:val="24"/>
                <w:szCs w:val="24"/>
                <w:u w:val="none"/>
              </w:rPr>
              <w:t xml:space="preserve">2</w:t>
            </w:r>
            <w:r/>
          </w:p>
        </w:tc>
        <w:tc>
          <w:tcPr>
            <w:shd w:val="clear" w:color="auto" w:fill="auto"/>
            <w:tcW w:w="8276" w:type="dxa"/>
            <w:vAlign w:val="center"/>
            <w:textDirection w:val="lrTb"/>
            <w:noWrap w:val="false"/>
          </w:tcPr>
          <w:p>
            <w:pPr>
              <w:spacing w:line="360" w:lineRule="auto"/>
              <w:rPr>
                <w:rFonts w:ascii="Times New Roman" w:hAnsi="Times New Roman" w:eastAsia="宋体" w:cs="Times New Roman"/>
                <w:color w:val="000000" w:themeColor="text1"/>
                <w:sz w:val="21"/>
                <w:szCs w:val="22"/>
                <w:u w:val="none"/>
                <w:lang w:val="en-US" w:eastAsia="zh-CN" w:bidi="ar-SA"/>
              </w:rPr>
            </w:pPr>
            <w:r>
              <w:rPr>
                <w:rFonts w:hint="eastAsia" w:cs="宋体"/>
                <w:color w:val="000000" w:themeColor="text1"/>
                <w:sz w:val="22"/>
                <w:u w:val="none"/>
                <w:lang w:val="en-US" w:eastAsia="zh-CN"/>
              </w:rPr>
              <w:t xml:space="preserve">合同签订后支付30%预付款，</w:t>
            </w:r>
            <w:r>
              <w:rPr>
                <w:rFonts w:hint="eastAsia" w:cs="宋体"/>
                <w:color w:val="000000" w:themeColor="text1"/>
                <w:sz w:val="22"/>
                <w:u w:val="none"/>
              </w:rPr>
              <w:t xml:space="preserve">经甲方组织验收合格后，支付至合同价的</w:t>
            </w:r>
            <w:r>
              <w:rPr>
                <w:rFonts w:hint="eastAsia" w:cs="宋体"/>
                <w:color w:val="000000" w:themeColor="text1"/>
                <w:sz w:val="22"/>
                <w:u w:val="none"/>
                <w:lang w:val="en-US" w:eastAsia="zh-CN"/>
              </w:rPr>
              <w:t xml:space="preserve">100</w:t>
            </w:r>
            <w:r>
              <w:rPr>
                <w:rFonts w:hint="eastAsia" w:cs="宋体"/>
                <w:color w:val="000000" w:themeColor="text1"/>
                <w:sz w:val="22"/>
                <w:u w:val="none"/>
              </w:rPr>
              <w:t xml:space="preserve">%，注：满足合同约定支付条件的，采购人收到供应商发票后 10 个工作日内，将资金支付到合同约定的供应商账户。</w:t>
            </w:r>
            <w:r>
              <w:rPr>
                <w:rFonts w:hint="eastAsia"/>
                <w:color w:val="000000" w:themeColor="text1"/>
                <w:sz w:val="22"/>
                <w:u w:val="none"/>
              </w:rPr>
              <w:t xml:space="preserve">采购人向中标供应商每次付款时，中标供应商需提供国家正规等额发票。</w:t>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6</w:t>
            </w:r>
            <w:r>
              <w:rPr>
                <w:rFonts w:hint="eastAsia" w:ascii="宋体" w:hAnsi="宋体" w:cs="宋体"/>
                <w:sz w:val="24"/>
                <w:szCs w:val="24"/>
                <w:u w:val="none"/>
              </w:rPr>
              <w:t xml:space="preserve">.</w:t>
            </w:r>
            <w:r>
              <w:rPr>
                <w:rFonts w:ascii="宋体" w:hAnsi="宋体" w:cs="宋体"/>
                <w:sz w:val="24"/>
                <w:szCs w:val="24"/>
                <w:u w:val="none"/>
              </w:rPr>
              <w:t xml:space="preserve">1</w:t>
            </w:r>
            <w:r>
              <w:rPr>
                <w:rFonts w:hint="eastAsia" w:ascii="宋体" w:hAnsi="宋体" w:cs="宋体"/>
                <w:sz w:val="24"/>
                <w:szCs w:val="24"/>
                <w:u w:val="none"/>
              </w:rPr>
              <w:t xml:space="preserve"> </w:t>
            </w:r>
            <w:r/>
          </w:p>
        </w:tc>
        <w:tc>
          <w:tcPr>
            <w:tcW w:w="8276" w:type="dxa"/>
            <w:vAlign w:val="center"/>
            <w:textDirection w:val="lrTb"/>
            <w:noWrap w:val="false"/>
          </w:tcPr>
          <w:p>
            <w:pPr>
              <w:jc w:val="left"/>
              <w:spacing w:line="360" w:lineRule="auto"/>
              <w:rPr>
                <w:rFonts w:ascii="宋体" w:hAnsi="宋体" w:cs="宋体"/>
                <w:color w:val="000000"/>
                <w:sz w:val="24"/>
                <w:szCs w:val="24"/>
                <w:u w:val="none"/>
              </w:rPr>
            </w:pPr>
            <w:r>
              <w:rPr>
                <w:rFonts w:ascii="宋体" w:hAnsi="宋体" w:cs="宋体"/>
                <w:color w:val="000000"/>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7</w:t>
            </w:r>
            <w:r>
              <w:rPr>
                <w:rFonts w:hint="eastAsia" w:ascii="宋体" w:hAnsi="宋体" w:cs="宋体"/>
                <w:sz w:val="24"/>
                <w:szCs w:val="24"/>
                <w:u w:val="none"/>
              </w:rPr>
              <w:t xml:space="preserve">.</w:t>
            </w:r>
            <w:r>
              <w:rPr>
                <w:rFonts w:ascii="宋体" w:hAnsi="宋体" w:cs="宋体"/>
                <w:sz w:val="24"/>
                <w:szCs w:val="24"/>
                <w:u w:val="none"/>
              </w:rPr>
              <w:t xml:space="preserve">2</w:t>
            </w:r>
            <w:r/>
          </w:p>
        </w:tc>
        <w:tc>
          <w:tcPr>
            <w:tcW w:w="8276" w:type="dxa"/>
            <w:vAlign w:val="center"/>
            <w:textDirection w:val="lrTb"/>
            <w:noWrap w:val="false"/>
          </w:tcPr>
          <w:p>
            <w:pPr>
              <w:jc w:val="left"/>
              <w:spacing w:line="360" w:lineRule="auto"/>
              <w:widowControl/>
              <w:rPr>
                <w:rFonts w:ascii="宋体" w:hAnsi="宋体" w:cs="宋体"/>
                <w:color w:val="000000"/>
                <w:sz w:val="24"/>
                <w:szCs w:val="24"/>
                <w:u w:val="none"/>
              </w:rPr>
            </w:pPr>
            <w:r>
              <w:rPr>
                <w:rFonts w:ascii="宋体" w:hAnsi="宋体" w:cs="宋体"/>
                <w:color w:val="000000"/>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8</w:t>
            </w:r>
            <w:r>
              <w:rPr>
                <w:rFonts w:hint="eastAsia" w:ascii="宋体" w:hAnsi="宋体" w:cs="宋体"/>
                <w:sz w:val="24"/>
                <w:szCs w:val="24"/>
                <w:u w:val="none"/>
              </w:rPr>
              <w:t xml:space="preserve">.1</w:t>
            </w:r>
            <w:r/>
          </w:p>
        </w:tc>
        <w:tc>
          <w:tcPr>
            <w:tcW w:w="8276" w:type="dxa"/>
            <w:vAlign w:val="center"/>
            <w:textDirection w:val="lrTb"/>
            <w:noWrap w:val="false"/>
          </w:tcPr>
          <w:p>
            <w:pPr>
              <w:spacing w:line="360" w:lineRule="auto"/>
              <w:rPr>
                <w:rFonts w:ascii="宋体" w:hAnsi="宋体" w:cs="宋体"/>
                <w:sz w:val="24"/>
                <w:szCs w:val="24"/>
                <w:u w:val="none"/>
              </w:rPr>
            </w:pPr>
            <w:r>
              <w:rPr>
                <w:rFonts w:ascii="宋体" w:hAnsi="宋体" w:cs="宋体"/>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8</w:t>
            </w:r>
            <w:r>
              <w:rPr>
                <w:rFonts w:hint="eastAsia" w:ascii="宋体" w:hAnsi="宋体" w:cs="宋体"/>
                <w:sz w:val="24"/>
                <w:szCs w:val="24"/>
                <w:u w:val="none"/>
              </w:rPr>
              <w:t xml:space="preserve">.2</w:t>
            </w:r>
            <w:r/>
          </w:p>
        </w:tc>
        <w:tc>
          <w:tcPr>
            <w:tcW w:w="8276" w:type="dxa"/>
            <w:vAlign w:val="center"/>
            <w:textDirection w:val="lrTb"/>
            <w:noWrap w:val="false"/>
          </w:tcPr>
          <w:p>
            <w:pPr>
              <w:spacing w:line="360" w:lineRule="auto"/>
              <w:rPr>
                <w:rFonts w:ascii="宋体" w:hAnsi="宋体" w:cs="宋体"/>
                <w:sz w:val="24"/>
                <w:szCs w:val="24"/>
                <w:u w:val="none"/>
              </w:rPr>
            </w:pPr>
            <w:r>
              <w:rPr>
                <w:rFonts w:ascii="宋体" w:hAnsi="宋体" w:cs="宋体"/>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8</w:t>
            </w:r>
            <w:r>
              <w:rPr>
                <w:rFonts w:hint="eastAsia" w:ascii="宋体" w:hAnsi="宋体" w:cs="宋体"/>
                <w:sz w:val="24"/>
                <w:szCs w:val="24"/>
                <w:u w:val="none"/>
              </w:rPr>
              <w:t xml:space="preserve">.3</w:t>
            </w:r>
            <w:r/>
          </w:p>
        </w:tc>
        <w:tc>
          <w:tcPr>
            <w:tcW w:w="8276" w:type="dxa"/>
            <w:vAlign w:val="center"/>
            <w:textDirection w:val="lrTb"/>
            <w:noWrap w:val="false"/>
          </w:tcPr>
          <w:p>
            <w:pPr>
              <w:spacing w:line="360" w:lineRule="auto"/>
              <w:rPr>
                <w:rFonts w:ascii="宋体" w:hAnsi="宋体" w:cs="宋体"/>
                <w:sz w:val="24"/>
                <w:szCs w:val="24"/>
                <w:u w:val="none"/>
              </w:rPr>
            </w:pPr>
            <w:r>
              <w:rPr>
                <w:rFonts w:ascii="宋体" w:hAnsi="宋体" w:cs="宋体"/>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9</w:t>
            </w:r>
            <w:r>
              <w:rPr>
                <w:rFonts w:hint="eastAsia" w:ascii="宋体" w:hAnsi="宋体" w:cs="宋体"/>
                <w:sz w:val="24"/>
                <w:szCs w:val="24"/>
                <w:u w:val="none"/>
              </w:rPr>
              <w:t xml:space="preserve">.6</w:t>
            </w:r>
            <w:r/>
          </w:p>
        </w:tc>
        <w:tc>
          <w:tcPr>
            <w:tcW w:w="8276" w:type="dxa"/>
            <w:vAlign w:val="center"/>
            <w:textDirection w:val="lrTb"/>
            <w:noWrap w:val="false"/>
          </w:tcPr>
          <w:p>
            <w:pPr>
              <w:spacing w:line="360" w:lineRule="auto"/>
              <w:rPr>
                <w:rFonts w:ascii="宋体" w:hAnsi="宋体" w:cs="宋体"/>
                <w:sz w:val="24"/>
                <w:szCs w:val="24"/>
                <w:u w:val="none"/>
              </w:rPr>
            </w:pPr>
            <w:r>
              <w:rPr>
                <w:rFonts w:ascii="宋体" w:hAnsi="宋体" w:cs="宋体"/>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2.3.2</w:t>
            </w:r>
            <w:r/>
          </w:p>
        </w:tc>
        <w:tc>
          <w:tcPr>
            <w:tcW w:w="8276" w:type="dxa"/>
            <w:vAlign w:val="center"/>
            <w:textDirection w:val="lrTb"/>
            <w:noWrap w:val="false"/>
          </w:tcPr>
          <w:p>
            <w:pPr>
              <w:ind w:left="-420" w:right="-420" w:firstLine="480"/>
              <w:spacing w:line="360" w:lineRule="auto"/>
              <w:rPr>
                <w:rFonts w:ascii="宋体" w:hAnsi="宋体" w:cs="宋体"/>
                <w:sz w:val="24"/>
                <w:szCs w:val="24"/>
                <w:u w:val="none"/>
              </w:rPr>
            </w:pPr>
            <w:r>
              <w:rPr>
                <w:rFonts w:ascii="宋体" w:hAnsi="宋体" w:cs="宋体"/>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2.4.1</w:t>
            </w:r>
            <w:r/>
          </w:p>
        </w:tc>
        <w:tc>
          <w:tcPr>
            <w:tcW w:w="8276" w:type="dxa"/>
            <w:vAlign w:val="center"/>
            <w:textDirection w:val="lrTb"/>
            <w:noWrap w:val="false"/>
          </w:tcPr>
          <w:p>
            <w:pPr>
              <w:ind w:left="-420" w:right="-420" w:firstLine="480"/>
              <w:spacing w:line="360" w:lineRule="auto"/>
              <w:rPr>
                <w:rFonts w:ascii="宋体" w:hAnsi="宋体" w:cs="宋体"/>
                <w:sz w:val="24"/>
                <w:szCs w:val="24"/>
                <w:u w:val="none"/>
              </w:rPr>
            </w:pPr>
            <w:r>
              <w:rPr>
                <w:rFonts w:ascii="宋体" w:hAnsi="宋体" w:cs="宋体"/>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2.4.3</w:t>
            </w:r>
            <w:r/>
          </w:p>
        </w:tc>
        <w:tc>
          <w:tcPr>
            <w:tcW w:w="8276" w:type="dxa"/>
            <w:vAlign w:val="center"/>
            <w:textDirection w:val="lrTb"/>
            <w:noWrap w:val="false"/>
          </w:tcPr>
          <w:p>
            <w:pPr>
              <w:spacing w:line="360" w:lineRule="auto"/>
              <w:rPr>
                <w:rFonts w:ascii="宋体" w:hAnsi="宋体" w:cs="宋体"/>
                <w:sz w:val="24"/>
                <w:szCs w:val="24"/>
                <w:u w:val="none"/>
              </w:rPr>
            </w:pPr>
            <w:r>
              <w:rPr>
                <w:rFonts w:ascii="宋体" w:hAnsi="宋体" w:cs="宋体"/>
                <w:sz w:val="24"/>
                <w:szCs w:val="24"/>
                <w:u w:val="none"/>
              </w:rPr>
            </w:r>
            <w:r/>
          </w:p>
        </w:tc>
      </w:tr>
      <w:tr>
        <w:trPr>
          <w:trHeight w:val="88"/>
        </w:trPr>
        <w:tc>
          <w:tcPr>
            <w:tcW w:w="873" w:type="dxa"/>
            <w:vAlign w:val="top"/>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2.8 </w:t>
            </w:r>
            <w:r/>
          </w:p>
        </w:tc>
        <w:tc>
          <w:tcPr>
            <w:tcW w:w="8276" w:type="dxa"/>
            <w:vAlign w:val="top"/>
            <w:textDirection w:val="lrTb"/>
            <w:noWrap w:val="false"/>
          </w:tcPr>
          <w:p>
            <w:pPr>
              <w:spacing w:line="360" w:lineRule="auto"/>
              <w:rPr>
                <w:rFonts w:ascii="宋体" w:hAnsi="宋体" w:cs="宋体"/>
                <w:sz w:val="24"/>
                <w:szCs w:val="24"/>
                <w:u w:val="none"/>
              </w:rPr>
            </w:pPr>
            <w:r>
              <w:rPr>
                <w:rFonts w:ascii="宋体" w:hAnsi="宋体" w:cs="宋体"/>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2.12.3</w:t>
            </w:r>
            <w:r/>
          </w:p>
        </w:tc>
        <w:tc>
          <w:tcPr>
            <w:tcW w:w="8276" w:type="dxa"/>
            <w:vAlign w:val="center"/>
            <w:textDirection w:val="lrTb"/>
            <w:noWrap w:val="false"/>
          </w:tcPr>
          <w:p>
            <w:pPr>
              <w:spacing w:line="360" w:lineRule="auto"/>
              <w:rPr>
                <w:rFonts w:ascii="宋体" w:hAnsi="宋体" w:cs="宋体"/>
                <w:sz w:val="24"/>
                <w:szCs w:val="24"/>
                <w:u w:val="none"/>
              </w:rPr>
            </w:pPr>
            <w:r>
              <w:rPr>
                <w:rFonts w:ascii="宋体" w:hAnsi="宋体" w:cs="宋体"/>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2.12.4</w:t>
            </w:r>
            <w:r/>
          </w:p>
        </w:tc>
        <w:tc>
          <w:tcPr>
            <w:tcW w:w="8276" w:type="dxa"/>
            <w:vAlign w:val="center"/>
            <w:textDirection w:val="lrTb"/>
            <w:noWrap w:val="false"/>
          </w:tcPr>
          <w:p>
            <w:pPr>
              <w:spacing w:line="360" w:lineRule="auto"/>
              <w:rPr>
                <w:rFonts w:ascii="宋体" w:hAnsi="宋体" w:cs="宋体"/>
                <w:sz w:val="24"/>
                <w:szCs w:val="24"/>
                <w:u w:val="none"/>
              </w:rPr>
            </w:pPr>
            <w:r>
              <w:rPr>
                <w:rFonts w:ascii="宋体" w:hAnsi="宋体" w:cs="宋体"/>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2.16.1</w:t>
            </w:r>
            <w:r/>
          </w:p>
        </w:tc>
        <w:tc>
          <w:tcPr>
            <w:tcW w:w="8276" w:type="dxa"/>
            <w:vAlign w:val="center"/>
            <w:textDirection w:val="lrTb"/>
            <w:noWrap w:val="false"/>
          </w:tcPr>
          <w:p>
            <w:pPr>
              <w:spacing w:line="360" w:lineRule="auto"/>
              <w:rPr>
                <w:rFonts w:ascii="宋体" w:hAnsi="宋体" w:cs="宋体"/>
                <w:sz w:val="24"/>
                <w:szCs w:val="24"/>
                <w:u w:val="none"/>
              </w:rPr>
            </w:pPr>
            <w:r>
              <w:rPr>
                <w:rFonts w:hint="eastAsia" w:ascii="宋体" w:hAnsi="宋体" w:cs="宋体"/>
                <w:b/>
                <w:i/>
                <w:sz w:val="24"/>
                <w:szCs w:val="24"/>
                <w:u w:val="none"/>
              </w:rPr>
              <w:t xml:space="preserve">提醒：必须填写</w:t>
            </w:r>
            <w:r/>
          </w:p>
        </w:tc>
      </w:tr>
      <w:tr>
        <w:trPr>
          <w:trHeight w:val="352"/>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2.16.3</w:t>
            </w:r>
            <w:r/>
          </w:p>
        </w:tc>
        <w:tc>
          <w:tcPr>
            <w:tcW w:w="8276" w:type="dxa"/>
            <w:vAlign w:val="center"/>
            <w:textDirection w:val="lrTb"/>
            <w:noWrap w:val="false"/>
          </w:tcPr>
          <w:p>
            <w:pPr>
              <w:spacing w:line="360" w:lineRule="auto"/>
              <w:rPr>
                <w:rFonts w:ascii="宋体" w:hAnsi="宋体" w:cs="宋体"/>
                <w:i/>
                <w:iCs/>
                <w:sz w:val="24"/>
                <w:szCs w:val="24"/>
                <w:u w:val="none"/>
              </w:rPr>
            </w:pPr>
            <w:r>
              <w:rPr>
                <w:rFonts w:hint="eastAsia" w:ascii="宋体" w:hAnsi="宋体"/>
                <w:i/>
                <w:iCs/>
                <w:sz w:val="24"/>
                <w:szCs w:val="24"/>
                <w:u w:val="none"/>
              </w:rPr>
              <w:t xml:space="preserve">提醒：</w:t>
            </w:r>
            <w:r>
              <w:rPr>
                <w:rFonts w:hint="eastAsia" w:ascii="宋体" w:hAnsi="宋体" w:cs="宋体"/>
                <w:b/>
                <w:i/>
                <w:sz w:val="24"/>
                <w:szCs w:val="24"/>
                <w:u w:val="none"/>
              </w:rPr>
              <w:t xml:space="preserve">必须填写。</w:t>
            </w:r>
            <w:r>
              <w:rPr>
                <w:rFonts w:hint="eastAsia" w:ascii="宋体" w:hAnsi="宋体"/>
                <w:i/>
                <w:iCs/>
                <w:sz w:val="24"/>
                <w:szCs w:val="24"/>
                <w:u w:val="none"/>
              </w:rPr>
              <w:t xml:space="preserve">严格按照采购合同开展履约验收。</w:t>
            </w:r>
            <w:bookmarkStart w:id="372" w:name="OLE_LINK1"/>
            <w:r>
              <w:rPr>
                <w:rFonts w:hint="eastAsia" w:ascii="宋体" w:hAnsi="宋体"/>
                <w:i/>
                <w:iCs/>
                <w:sz w:val="24"/>
                <w:szCs w:val="24"/>
                <w:u w:val="none"/>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372"/>
            <w:r/>
            <w:r/>
          </w:p>
        </w:tc>
      </w:tr>
      <w:tr>
        <w:trPr>
          <w:trHeight w:val="65"/>
        </w:trPr>
        <w:tc>
          <w:tcPr>
            <w:tcW w:w="873" w:type="dxa"/>
            <w:vAlign w:val="center"/>
            <w:textDirection w:val="lrTb"/>
            <w:noWrap w:val="false"/>
          </w:tcPr>
          <w:p>
            <w:pPr>
              <w:ind w:left="-420" w:right="-420" w:firstLine="480"/>
              <w:spacing w:line="360" w:lineRule="auto"/>
              <w:rPr>
                <w:rFonts w:ascii="宋体" w:hAnsi="宋体" w:cs="宋体"/>
                <w:sz w:val="24"/>
                <w:szCs w:val="24"/>
                <w:u w:val="none"/>
              </w:rPr>
              <w:outlineLvl w:val="0"/>
            </w:pPr>
            <w:r>
              <w:rPr>
                <w:rFonts w:hint="eastAsia" w:ascii="宋体" w:hAnsi="宋体" w:cs="宋体"/>
                <w:sz w:val="24"/>
                <w:szCs w:val="24"/>
                <w:u w:val="none"/>
              </w:rPr>
              <w:t xml:space="preserve">2.21 </w:t>
            </w:r>
            <w:r/>
          </w:p>
        </w:tc>
        <w:tc>
          <w:tcPr>
            <w:tcW w:w="8276" w:type="dxa"/>
            <w:vAlign w:val="center"/>
            <w:textDirection w:val="lrTb"/>
            <w:noWrap w:val="false"/>
          </w:tcPr>
          <w:p>
            <w:pPr>
              <w:spacing w:line="360" w:lineRule="auto"/>
              <w:rPr>
                <w:rFonts w:ascii="宋体" w:hAnsi="宋体" w:cs="宋体"/>
                <w:sz w:val="24"/>
                <w:szCs w:val="24"/>
                <w:u w:val="none"/>
              </w:rPr>
            </w:pPr>
            <w:r>
              <w:rPr>
                <w:rFonts w:ascii="宋体" w:hAnsi="宋体" w:cs="宋体"/>
                <w:sz w:val="24"/>
                <w:szCs w:val="24"/>
                <w:u w:val="none"/>
              </w:rPr>
            </w:r>
            <w:r/>
          </w:p>
        </w:tc>
      </w:tr>
      <w:tr>
        <w:trPr>
          <w:trHeight w:val="65"/>
        </w:trPr>
        <w:tc>
          <w:tcPr>
            <w:tcW w:w="873" w:type="dxa"/>
            <w:vAlign w:val="center"/>
            <w:textDirection w:val="lrTb"/>
            <w:noWrap w:val="false"/>
          </w:tcPr>
          <w:p>
            <w:pPr>
              <w:ind w:left="-420" w:right="-420" w:firstLine="480"/>
              <w:spacing w:line="360" w:lineRule="auto"/>
              <w:rPr>
                <w:rFonts w:ascii="宋体" w:hAnsi="宋体" w:cs="宋体"/>
                <w:sz w:val="24"/>
                <w:szCs w:val="24"/>
                <w:u w:val="none"/>
              </w:rPr>
              <w:outlineLvl w:val="0"/>
            </w:pPr>
            <w:r>
              <w:rPr>
                <w:rFonts w:hint="eastAsia" w:ascii="宋体" w:hAnsi="宋体" w:cs="宋体"/>
                <w:sz w:val="24"/>
                <w:szCs w:val="24"/>
                <w:u w:val="none"/>
              </w:rPr>
              <w:t xml:space="preserve">3.1</w:t>
            </w:r>
            <w:r/>
          </w:p>
          <w:p>
            <w:pPr>
              <w:ind w:left="-420" w:right="-420" w:firstLine="480"/>
              <w:spacing w:line="360" w:lineRule="auto"/>
              <w:rPr>
                <w:rFonts w:ascii="宋体" w:hAnsi="宋体"/>
                <w:szCs w:val="24"/>
                <w:u w:val="none"/>
              </w:rPr>
              <w:outlineLvl w:val="0"/>
            </w:pPr>
            <w:r>
              <w:rPr>
                <w:rFonts w:hint="eastAsia" w:ascii="宋体" w:hAnsi="宋体" w:cs="宋体"/>
                <w:sz w:val="24"/>
                <w:szCs w:val="24"/>
                <w:u w:val="none"/>
              </w:rPr>
              <w:t xml:space="preserve">……</w:t>
            </w:r>
            <w:r/>
          </w:p>
        </w:tc>
        <w:tc>
          <w:tcPr>
            <w:tcW w:w="8276"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w:t>
            </w:r>
            <w:r>
              <w:rPr>
                <w:rFonts w:hint="eastAsia" w:ascii="宋体" w:hAnsi="宋体"/>
                <w:i/>
                <w:iCs/>
                <w:sz w:val="24"/>
                <w:szCs w:val="24"/>
                <w:u w:val="none"/>
              </w:rPr>
              <w:t xml:space="preserve">（可自行编辑）</w:t>
            </w:r>
            <w:r/>
          </w:p>
        </w:tc>
      </w:tr>
    </w:tbl>
    <w:p>
      <w:pPr>
        <w:rPr>
          <w:rFonts w:ascii="宋体" w:hAnsi="宋体"/>
          <w:color w:val="000000"/>
          <w:sz w:val="36"/>
          <w:u w:val="none"/>
        </w:rPr>
      </w:pPr>
      <w:r>
        <w:rPr>
          <w:rFonts w:ascii="宋体" w:hAnsi="宋体"/>
          <w:color w:val="000000"/>
          <w:sz w:val="36"/>
          <w:u w:val="none"/>
        </w:rPr>
        <w:br w:type="page" w:clear="all"/>
      </w:r>
      <w:r/>
    </w:p>
    <w:p>
      <w:pPr>
        <w:pStyle w:val="1032"/>
        <w:jc w:val="center"/>
        <w:rPr>
          <w:rFonts w:ascii="宋体" w:hAnsi="宋体"/>
          <w:color w:val="000000"/>
          <w:sz w:val="36"/>
          <w:highlight w:val="red"/>
          <w:u w:val="none"/>
        </w:rPr>
      </w:pPr>
      <w:r>
        <w:rPr>
          <w:rFonts w:ascii="宋体" w:hAnsi="宋体"/>
          <w:color w:val="000000"/>
          <w:sz w:val="36"/>
          <w:u w:val="none"/>
        </w:rPr>
        <w:t xml:space="preserve">第四部分</w:t>
      </w:r>
      <w:r>
        <w:rPr>
          <w:rFonts w:hint="eastAsia" w:ascii="宋体" w:hAnsi="宋体"/>
          <w:color w:val="000000"/>
          <w:sz w:val="36"/>
          <w:u w:val="none"/>
        </w:rPr>
        <w:t xml:space="preserve">  采购需求</w:t>
      </w:r>
      <w:bookmarkEnd w:id="244"/>
      <w:r/>
      <w:r/>
    </w:p>
    <w:p>
      <w:pPr>
        <w:jc w:val="left"/>
        <w:spacing w:before="750" w:after="240"/>
        <w:widowControl/>
        <w:rPr>
          <w:rFonts w:ascii="宋体" w:hAnsi="宋体"/>
          <w:color w:val="000000" w:themeColor="text1"/>
          <w:sz w:val="24"/>
          <w:u w:val="none"/>
        </w:rPr>
      </w:pPr>
      <w:r/>
      <w:bookmarkStart w:id="373" w:name="EB69fca8740d1f4b0e9a8dbc98881cd3d4"/>
      <w:r>
        <w:rPr>
          <w:rFonts w:ascii="宋体" w:hAnsi="宋体" w:cs="宋体"/>
          <w:b/>
          <w:bCs/>
          <w:color w:val="000000" w:themeColor="text1"/>
          <w:sz w:val="24"/>
          <w:u w:val="none"/>
        </w:rPr>
        <w:t xml:space="preserve">一.项目概况</w:t>
      </w:r>
      <w:r/>
    </w:p>
    <w:p>
      <w:pPr>
        <w:spacing w:line="360" w:lineRule="auto"/>
        <w:rPr>
          <w:color w:val="000000" w:themeColor="text1"/>
          <w:sz w:val="24"/>
          <w:u w:val="none"/>
        </w:rPr>
      </w:pPr>
      <w:r>
        <w:rPr>
          <w:color w:val="000000" w:themeColor="text1"/>
          <w:sz w:val="24"/>
          <w:u w:val="none"/>
        </w:rPr>
        <w:t xml:space="preserve">项目名称：</w:t>
      </w:r>
      <w:r>
        <w:rPr>
          <w:rFonts w:hint="eastAsia"/>
          <w:color w:val="000000" w:themeColor="text1"/>
          <w:sz w:val="24"/>
          <w:u w:val="none"/>
        </w:rPr>
        <w:t xml:space="preserve">江苏省句容高级中学异地新建工程学校设备采购（体育健身器材）</w:t>
      </w:r>
      <w:r/>
    </w:p>
    <w:p>
      <w:pPr>
        <w:spacing w:line="360" w:lineRule="auto"/>
        <w:rPr>
          <w:color w:val="000000" w:themeColor="text1"/>
          <w:sz w:val="24"/>
          <w:u w:val="none"/>
        </w:rPr>
      </w:pPr>
      <w:r>
        <w:rPr>
          <w:color w:val="000000" w:themeColor="text1"/>
          <w:sz w:val="24"/>
          <w:u w:val="none"/>
        </w:rPr>
        <w:t xml:space="preserve">项目预算：</w:t>
      </w:r>
      <w:r>
        <w:rPr>
          <w:rFonts w:hint="eastAsia"/>
          <w:color w:val="000000" w:themeColor="text1"/>
          <w:sz w:val="24"/>
          <w:u w:val="none"/>
        </w:rPr>
        <w:t xml:space="preserve">200万</w:t>
      </w:r>
      <w:r>
        <w:rPr>
          <w:color w:val="000000" w:themeColor="text1"/>
          <w:sz w:val="24"/>
          <w:u w:val="none"/>
        </w:rPr>
        <w:t xml:space="preserve">元</w:t>
      </w:r>
      <w:r/>
    </w:p>
    <w:p>
      <w:pPr>
        <w:spacing w:line="360" w:lineRule="auto"/>
        <w:rPr>
          <w:color w:val="000000" w:themeColor="text1"/>
          <w:sz w:val="24"/>
          <w:u w:val="none"/>
        </w:rPr>
      </w:pPr>
      <w:r>
        <w:rPr>
          <w:color w:val="000000" w:themeColor="text1"/>
          <w:sz w:val="24"/>
          <w:u w:val="none"/>
        </w:rPr>
        <w:t xml:space="preserve">项目所属行业：工业</w:t>
      </w:r>
      <w:r/>
    </w:p>
    <w:p>
      <w:pPr>
        <w:spacing w:line="360" w:lineRule="auto"/>
        <w:rPr>
          <w:color w:val="000000" w:themeColor="text1"/>
          <w:sz w:val="24"/>
          <w:u w:val="none"/>
        </w:rPr>
      </w:pPr>
      <w:r>
        <w:rPr>
          <w:rFonts w:hint="eastAsia"/>
          <w:color w:val="000000" w:themeColor="text1"/>
          <w:sz w:val="24"/>
          <w:u w:val="none"/>
        </w:rPr>
        <w:t xml:space="preserve">用途说明：学校购买体育健身器材</w:t>
      </w:r>
      <w:bookmarkEnd w:id="373"/>
      <w:r/>
      <w:r/>
    </w:p>
    <w:p>
      <w:pPr>
        <w:jc w:val="left"/>
        <w:spacing w:before="240" w:after="240"/>
        <w:widowControl/>
        <w:rPr>
          <w:rFonts w:ascii="宋体" w:hAnsi="宋体" w:cs="宋体"/>
          <w:color w:val="000000" w:themeColor="text1"/>
          <w:sz w:val="24"/>
          <w:u w:val="none"/>
        </w:rPr>
      </w:pPr>
      <w:r>
        <w:rPr>
          <w:rFonts w:ascii="宋体" w:hAnsi="宋体" w:cs="宋体"/>
          <w:color w:val="000000" w:themeColor="text1"/>
          <w:sz w:val="24"/>
          <w:u w:val="none"/>
        </w:rPr>
        <w:t xml:space="preserve">二.采购标的汇总表</w:t>
      </w:r>
      <w:r/>
    </w:p>
    <w:p>
      <w:pPr>
        <w:jc w:val="left"/>
        <w:spacing w:before="240" w:after="240"/>
        <w:widowControl/>
        <w:rPr>
          <w:rFonts w:ascii="宋体" w:hAnsi="宋体" w:cs="宋体"/>
          <w:b/>
          <w:bCs/>
          <w:color w:val="000000" w:themeColor="text1"/>
          <w:sz w:val="24"/>
          <w:u w:val="none"/>
        </w:rPr>
      </w:pPr>
      <w:r>
        <w:rPr>
          <w:rFonts w:ascii="宋体" w:hAnsi="宋体" w:cs="宋体"/>
          <w:color w:val="000000" w:themeColor="text1"/>
          <w:sz w:val="24"/>
          <w:u w:val="none"/>
        </w:rPr>
        <w:t xml:space="preserve">（一） 采购标的</w:t>
      </w:r>
      <w:r/>
    </w:p>
    <w:p>
      <w:pPr>
        <w:jc w:val="left"/>
        <w:spacing w:line="360" w:lineRule="auto"/>
        <w:rPr>
          <w:color w:val="000000" w:themeColor="text1"/>
          <w:sz w:val="24"/>
          <w:szCs w:val="32"/>
          <w:u w:val="none"/>
        </w:rPr>
      </w:pPr>
      <w:r>
        <w:rPr>
          <w:rFonts w:hint="eastAsia"/>
          <w:color w:val="000000" w:themeColor="text1"/>
          <w:sz w:val="24"/>
          <w:szCs w:val="32"/>
          <w:u w:val="none"/>
        </w:rPr>
        <w:t xml:space="preserve">1.货物类标的</w:t>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4924"/>
        <w:gridCol w:w="618"/>
        <w:gridCol w:w="855"/>
        <w:gridCol w:w="754"/>
        <w:gridCol w:w="527"/>
      </w:tblGrid>
      <w:tr>
        <w:trPr/>
        <w:tc>
          <w:tcPr>
            <w:shd w:val="clear" w:color="auto" w:fill="auto"/>
            <w:tcW w:w="618" w:type="dxa"/>
            <w:vAlign w:val="center"/>
            <w:textDirection w:val="lrTb"/>
            <w:noWrap/>
          </w:tcPr>
          <w:p>
            <w:pPr>
              <w:jc w:val="center"/>
              <w:widowControl/>
              <w:rPr>
                <w:rFonts w:ascii="宋体" w:hAnsi="宋体" w:cs="宋体"/>
                <w:b/>
                <w:bCs/>
                <w:color w:val="000000"/>
                <w:sz w:val="20"/>
                <w:szCs w:val="20"/>
                <w:u w:val="none"/>
              </w:rPr>
            </w:pPr>
            <w:r/>
            <w:bookmarkStart w:id="374" w:name="_Hlk209966916"/>
            <w:r/>
            <w:bookmarkStart w:id="375" w:name="OLE_LINK42"/>
            <w:r>
              <w:rPr>
                <w:rFonts w:hint="eastAsia" w:ascii="宋体" w:hAnsi="宋体" w:cs="宋体"/>
                <w:b/>
                <w:bCs/>
                <w:color w:val="000000"/>
                <w:sz w:val="20"/>
                <w:szCs w:val="20"/>
                <w:u w:val="none"/>
              </w:rPr>
              <w:t xml:space="preserve">序号</w:t>
            </w:r>
            <w:r/>
          </w:p>
        </w:tc>
        <w:tc>
          <w:tcPr>
            <w:shd w:val="clear" w:color="auto" w:fill="auto"/>
            <w:tcW w:w="4924" w:type="dxa"/>
            <w:vAlign w:val="center"/>
            <w:textDirection w:val="lrTb"/>
            <w:noWrap w:val="false"/>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产品名称</w:t>
            </w:r>
            <w:r/>
          </w:p>
        </w:tc>
        <w:tc>
          <w:tcPr>
            <w:shd w:val="clear" w:color="auto" w:fill="auto"/>
            <w:tcW w:w="618" w:type="dxa"/>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数量</w:t>
            </w:r>
            <w:r/>
          </w:p>
        </w:tc>
        <w:tc>
          <w:tcPr>
            <w:shd w:val="clear" w:color="auto" w:fill="auto"/>
            <w:tcW w:w="855" w:type="dxa"/>
            <w:vAlign w:val="center"/>
            <w:textDirection w:val="lrTb"/>
            <w:noWrap w:val="false"/>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计量单位</w:t>
            </w:r>
            <w:r/>
          </w:p>
        </w:tc>
        <w:tc>
          <w:tcPr>
            <w:shd w:val="clear" w:color="auto" w:fill="auto"/>
            <w:tcW w:w="754" w:type="dxa"/>
            <w:vAlign w:val="center"/>
            <w:textDirection w:val="lrTb"/>
            <w:noWrap w:val="false"/>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是否进口</w:t>
            </w:r>
            <w:r/>
          </w:p>
        </w:tc>
        <w:tc>
          <w:tcPr>
            <w:shd w:val="clear" w:color="auto" w:fill="auto"/>
            <w:tcW w:w="527" w:type="dxa"/>
            <w:vAlign w:val="center"/>
            <w:textDirection w:val="lrTb"/>
            <w:noWrap w:val="false"/>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备注</w:t>
            </w:r>
            <w:r/>
          </w:p>
        </w:tc>
      </w:tr>
      <w:tr>
        <w:trPr>
          <w:trHeight w:val="496"/>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一、医务保健室</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诊察床</w:t>
            </w:r>
            <w:r/>
          </w:p>
        </w:tc>
        <w:tc>
          <w:tcPr>
            <w:shd w:val="clear" w:color="000000" w:fill="ffffff"/>
            <w:tcBorders>
              <w:top w:val="single" w:color="auto"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诊察桌</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诊察椅</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器械柜</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课桌椅测量尺</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把</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6</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照度计</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7</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视力表灯箱//遮掩板/指挥棒</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8</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辨色图谱</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本</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9</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听诊器</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10</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身高坐高计</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11</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污物桶</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rPr>
                <w:rFonts w:ascii="宋体" w:hAnsi="宋体" w:cs="宋体"/>
                <w:color w:val="000000"/>
                <w:sz w:val="20"/>
                <w:szCs w:val="20"/>
                <w:u w:val="none"/>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紫外线灯</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ascii="宋体" w:hAnsi="宋体" w:cs="宋体"/>
                <w:color w:val="000000"/>
                <w:sz w:val="22"/>
                <w:u w:val="none"/>
              </w:rPr>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rPr>
                <w:rFonts w:ascii="宋体" w:hAnsi="宋体" w:cs="宋体"/>
                <w:color w:val="000000"/>
                <w:sz w:val="20"/>
                <w:szCs w:val="20"/>
                <w:u w:val="none"/>
              </w:rPr>
              <w:t xml:space="preserve">3</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杠杆式体重秤</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二、医务处置室</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冰箱</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外伤处理器械</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药品柜</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三、医务治疗室</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器械柜</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急救箱</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诊察桌</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诊察椅</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ascii="宋体" w:hAnsi="宋体" w:cs="宋体"/>
                <w:color w:val="000000"/>
                <w:sz w:val="22"/>
                <w:u w:val="none"/>
              </w:rPr>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ascii="宋体" w:hAnsi="宋体" w:cs="宋体"/>
                <w:color w:val="000000"/>
                <w:sz w:val="20"/>
                <w:szCs w:val="20"/>
                <w:u w:val="none"/>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诊察床</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四、乒乓球室</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乒乓球网</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乒乓球记分桌</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乒乓球拍</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200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乒乓球计分牌</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乒乓球发球机</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乒乓球场地围挡</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指纹存包柜</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组</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乒乓球桌</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五、多功能健身房</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史密斯机</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动感单车</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坐式胸肌推举训练器</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健腹轮</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10</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综训机</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划船机</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可调仰卧板</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杠铃套装</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套</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9</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高拉背训练器</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10</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双层哑铃架</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台球桌</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平板凳</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大飞鸟</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橡胶地垫</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295</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平方</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跑步机</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调节哑铃凳</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哑铃套装</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套</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指纹存包柜</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组</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六、羽毛球场</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羽毛球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100</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桶</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移动式羽毛球柱</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羽毛球网</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羽毛球裁判椅</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羽毛球赛记分牌</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ascii="宋体" w:hAnsi="宋体" w:cs="宋体"/>
                <w:color w:val="000000"/>
                <w:sz w:val="20"/>
                <w:szCs w:val="20"/>
                <w:u w:val="none"/>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排球网</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羽毛球拍</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200</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简易配重拆卸式排球柱</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9</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移动式羽毛球地垫</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rPr>
                <w:rFonts w:ascii="宋体" w:hAnsi="宋体" w:cs="宋体"/>
                <w:color w:val="000000"/>
                <w:sz w:val="20"/>
                <w:szCs w:val="20"/>
                <w:u w:val="none"/>
              </w:rPr>
              <w:t xml:space="preserve">0</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指纹存包柜</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组</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七、室内篮球场</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比分显示屏</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液晶显示屏移动支架</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电动液压篮球架一对</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副</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篮球、排球计时记分系统</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套</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指纹存包柜</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组</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八、器材室</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折叠式球类推车</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7</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球类推车</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排球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w:t>
            </w:r>
            <w:r>
              <w:rPr>
                <w:rFonts w:ascii="宋体" w:hAnsi="宋体" w:cs="宋体"/>
                <w:color w:val="000000"/>
                <w:sz w:val="20"/>
                <w:szCs w:val="20"/>
                <w:u w:val="none"/>
              </w:rPr>
              <w:t xml:space="preserve">00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ascii="宋体" w:hAnsi="宋体" w:cs="宋体"/>
                <w:color w:val="000000"/>
                <w:sz w:val="22"/>
                <w:u w:val="none"/>
              </w:rPr>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标枪</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电子跳绳</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根</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网球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200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大绳</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根</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毽子</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9</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跨栏搬运车</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10</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普通跳绳</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200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根</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网球拍</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100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彩旗</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气排球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篮球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300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接力棒</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rPr>
                <w:rFonts w:ascii="宋体" w:hAnsi="宋体" w:cs="宋体"/>
                <w:color w:val="000000"/>
                <w:sz w:val="20"/>
                <w:szCs w:val="20"/>
                <w:u w:val="none"/>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实心球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rPr>
                <w:rFonts w:ascii="宋体" w:hAnsi="宋体" w:cs="宋体"/>
                <w:color w:val="000000"/>
                <w:sz w:val="20"/>
                <w:szCs w:val="20"/>
                <w:u w:val="none"/>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起跑器</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16</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ascii="宋体" w:hAnsi="宋体" w:cs="宋体"/>
                <w:color w:val="000000"/>
                <w:sz w:val="22"/>
                <w:u w:val="none"/>
              </w:rPr>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rPr>
                <w:rFonts w:ascii="宋体" w:hAnsi="宋体" w:cs="宋体"/>
                <w:color w:val="000000"/>
                <w:sz w:val="20"/>
                <w:szCs w:val="20"/>
                <w:u w:val="none"/>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铅球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ascii="宋体" w:hAnsi="宋体" w:cs="宋体"/>
                <w:color w:val="000000"/>
                <w:sz w:val="22"/>
                <w:u w:val="none"/>
              </w:rPr>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九、室内看台</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直立式中靠背座椅</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254</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rHeight w:val="679"/>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十、室外操场</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跳高丈量尺</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把</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bookmarkStart w:id="376" w:name="RANGE!E101"/>
            <w:r>
              <w:rPr>
                <w:rFonts w:hint="eastAsia" w:ascii="宋体" w:hAnsi="宋体" w:cs="宋体"/>
                <w:color w:val="000000"/>
                <w:sz w:val="22"/>
                <w:u w:val="none"/>
              </w:rPr>
              <w:t xml:space="preserve">否</w:t>
            </w:r>
            <w:bookmarkEnd w:id="376"/>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跳高海绵垫</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跳高海绵垫底架</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跳高架</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跳高横杆</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20</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横杆</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根</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短跑、中长跑AI立柜式一体机（支持100米短跑，400米，800米，1500米，3000米中长跑）</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摄像头</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6</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9</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数字LED标识标牌</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套</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10</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发令台</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跳高海绵垫收纳仓</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AI体育系统</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套</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跨栏架</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50</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室外乒乓球桌</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12</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设备调试</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操场施工</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bookmarkEnd w:id="374"/>
            <w:r/>
            <w:bookmarkEnd w:id="375"/>
            <w:r/>
            <w:r/>
          </w:p>
        </w:tc>
      </w:tr>
    </w:tbl>
    <w:p>
      <w:pPr>
        <w:rPr>
          <w:rFonts w:ascii="宋体" w:hAnsi="宋体" w:cs="宋体"/>
          <w:color w:val="000000" w:themeColor="text1"/>
          <w:sz w:val="24"/>
          <w:u w:val="none"/>
        </w:rPr>
      </w:pPr>
      <w:r>
        <w:rPr>
          <w:rFonts w:ascii="宋体" w:hAnsi="宋体" w:cs="宋体"/>
          <w:color w:val="000000" w:themeColor="text1"/>
          <w:sz w:val="24"/>
          <w:u w:val="none"/>
        </w:rPr>
      </w:r>
      <w:r/>
    </w:p>
    <w:p>
      <w:pPr>
        <w:rPr>
          <w:rFonts w:ascii="宋体" w:hAnsi="宋体" w:cs="宋体"/>
          <w:color w:val="000000" w:themeColor="text1"/>
          <w:sz w:val="24"/>
          <w:u w:val="none"/>
        </w:rPr>
      </w:pPr>
      <w:r>
        <w:rPr>
          <w:rFonts w:hint="eastAsia" w:ascii="宋体" w:hAnsi="宋体" w:cs="宋体"/>
          <w:color w:val="000000" w:themeColor="text1"/>
          <w:sz w:val="24"/>
          <w:u w:val="none"/>
        </w:rPr>
        <w:t xml:space="preserve">注：合同价已包含工程未移交之前的货品看管及工程配套费用，具体费用由中标单位与工程总包单位自行协商。</w:t>
      </w:r>
      <w:r/>
    </w:p>
    <w:p>
      <w:pPr>
        <w:rPr>
          <w:rFonts w:ascii="宋体" w:hAnsi="宋体" w:cs="宋体"/>
          <w:color w:val="000000" w:themeColor="text1"/>
          <w:sz w:val="24"/>
          <w:u w:val="none"/>
        </w:rPr>
      </w:pPr>
      <w:r>
        <w:rPr>
          <w:rFonts w:ascii="宋体" w:hAnsi="宋体" w:cs="宋体"/>
          <w:color w:val="000000" w:themeColor="text1"/>
          <w:sz w:val="24"/>
          <w:u w:val="none"/>
        </w:rPr>
      </w:r>
      <w:r/>
    </w:p>
    <w:p>
      <w:pPr>
        <w:rPr>
          <w:rFonts w:ascii="宋体" w:hAnsi="宋体" w:cs="宋体"/>
          <w:color w:val="000000" w:themeColor="text1"/>
          <w:sz w:val="24"/>
          <w:u w:val="none"/>
        </w:rPr>
      </w:pPr>
      <w:r>
        <w:rPr>
          <w:rFonts w:hint="eastAsia" w:ascii="宋体" w:hAnsi="宋体" w:cs="宋体"/>
          <w:color w:val="000000" w:themeColor="text1"/>
          <w:sz w:val="24"/>
          <w:u w:val="none"/>
        </w:rPr>
        <w:t xml:space="preserve">注：以上卫生室设备无须第二类、第三类医疗器械，如有分级或定义模糊，按第一类提供。</w:t>
      </w:r>
      <w:r/>
    </w:p>
    <w:p>
      <w:pPr>
        <w:rPr>
          <w:rFonts w:ascii="宋体" w:hAnsi="宋体" w:cs="宋体"/>
          <w:b/>
          <w:bCs/>
          <w:color w:val="000000" w:themeColor="text1"/>
          <w:sz w:val="24"/>
          <w:u w:val="none"/>
        </w:rPr>
      </w:pPr>
      <w:r>
        <w:rPr>
          <w:rFonts w:hint="eastAsia" w:ascii="宋体" w:hAnsi="宋体" w:cs="宋体"/>
          <w:color w:val="000000" w:themeColor="text1"/>
          <w:sz w:val="24"/>
          <w:u w:val="none"/>
        </w:rPr>
        <w:t xml:space="preserve">（二）</w:t>
      </w:r>
      <w:r>
        <w:rPr>
          <w:rFonts w:ascii="宋体" w:hAnsi="宋体" w:cs="宋体"/>
          <w:color w:val="000000" w:themeColor="text1"/>
          <w:sz w:val="24"/>
          <w:u w:val="none"/>
        </w:rPr>
        <w:t xml:space="preserve">本项目核心产品为：</w:t>
      </w:r>
      <w:r>
        <w:rPr>
          <w:rFonts w:hint="eastAsia" w:cs="宋体"/>
          <w:color w:val="000000" w:themeColor="text1"/>
          <w:sz w:val="24"/>
          <w:u w:val="none"/>
        </w:rPr>
        <w:t xml:space="preserve">篮球、排球计时记分系统，短跑、中长跑AI立柜式一体机</w:t>
      </w:r>
      <w:r>
        <w:rPr>
          <w:rFonts w:ascii="宋体" w:hAnsi="宋体" w:cs="宋体"/>
          <w:b/>
          <w:bCs/>
          <w:color w:val="000000" w:themeColor="text1"/>
          <w:sz w:val="24"/>
          <w:u w:val="none"/>
        </w:rPr>
        <w:br w:type="page" w:clear="all"/>
      </w:r>
      <w:r/>
    </w:p>
    <w:p>
      <w:pPr>
        <w:jc w:val="left"/>
        <w:spacing w:before="240" w:after="240"/>
        <w:widowControl/>
        <w:rPr>
          <w:rFonts w:ascii="宋体" w:hAnsi="宋体" w:cs="宋体"/>
          <w:b/>
          <w:bCs/>
          <w:color w:val="000000" w:themeColor="text1"/>
          <w:sz w:val="24"/>
          <w:u w:val="none"/>
        </w:rPr>
      </w:pPr>
      <w:r>
        <w:rPr>
          <w:rFonts w:ascii="宋体" w:hAnsi="宋体" w:cs="宋体"/>
          <w:b/>
          <w:bCs/>
          <w:color w:val="000000" w:themeColor="text1"/>
          <w:sz w:val="24"/>
          <w:u w:val="none"/>
        </w:rPr>
        <w:t xml:space="preserve">三.技术要求</w:t>
      </w:r>
      <w:r/>
    </w:p>
    <w:p>
      <w:pPr>
        <w:ind w:firstLine="480"/>
        <w:rPr>
          <w:rFonts w:ascii="宋体" w:hAnsi="宋体" w:cs="宋体"/>
          <w:color w:val="000000" w:themeColor="text1"/>
          <w:sz w:val="24"/>
          <w:szCs w:val="32"/>
          <w:u w:val="none"/>
        </w:rPr>
      </w:pPr>
      <w:r>
        <w:rPr>
          <w:rFonts w:hint="eastAsia" w:ascii="宋体" w:hAnsi="宋体" w:cs="宋体"/>
          <w:color w:val="000000" w:themeColor="text1"/>
          <w:sz w:val="24"/>
          <w:szCs w:val="32"/>
          <w:u w:val="none"/>
        </w:rPr>
        <w:t xml:space="preserve">指标按重要性分为“</w:t>
      </w:r>
      <w:bookmarkStart w:id="377" w:name="OLE_LINK45"/>
      <w:r/>
      <w:bookmarkStart w:id="378" w:name="OLE_LINK44"/>
      <w:r>
        <w:rPr>
          <w:rFonts w:hint="eastAsia" w:ascii="宋体" w:hAnsi="宋体" w:cs="宋体"/>
          <w:color w:val="000000" w:themeColor="text1"/>
          <w:sz w:val="24"/>
          <w:szCs w:val="32"/>
          <w:u w:val="none"/>
        </w:rPr>
        <w:t xml:space="preserve">★</w:t>
      </w:r>
      <w:bookmarkEnd w:id="377"/>
      <w:r/>
      <w:bookmarkEnd w:id="378"/>
      <w:r>
        <w:rPr>
          <w:rFonts w:hint="eastAsia" w:ascii="宋体" w:hAnsi="宋体" w:cs="宋体"/>
          <w:color w:val="000000" w:themeColor="text1"/>
          <w:sz w:val="24"/>
          <w:szCs w:val="32"/>
          <w:u w:val="none"/>
        </w:rPr>
        <w:t xml:space="preserve">”和▲”。“★”代表实质性指标，不满足该指标项将导致投标无效，“▲”代表重要指标，其它代表一般指标项。</w:t>
      </w:r>
      <w:r/>
    </w:p>
    <w:tbl>
      <w:tblPr>
        <w:tblStyle w:val="778"/>
        <w:tblW w:w="0" w:type="auto"/>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8"/>
        <w:gridCol w:w="1940"/>
        <w:gridCol w:w="7738"/>
      </w:tblGrid>
      <w:tr>
        <w:trPr/>
        <w:tc>
          <w:tcPr>
            <w:shd w:val="clear" w:color="auto" w:fill="auto"/>
            <w:tcW w:w="0" w:type="auto"/>
            <w:vAlign w:val="center"/>
            <w:textDirection w:val="lrTb"/>
            <w:noWrap/>
          </w:tcPr>
          <w:p>
            <w:pPr>
              <w:jc w:val="center"/>
              <w:widowControl/>
              <w:rPr>
                <w:rFonts w:ascii="宋体" w:hAnsi="宋体" w:cs="宋体"/>
                <w:b/>
                <w:bCs/>
                <w:color w:val="000000"/>
                <w:sz w:val="20"/>
                <w:szCs w:val="20"/>
                <w:u w:val="none"/>
              </w:rPr>
            </w:pPr>
            <w:r/>
            <w:bookmarkStart w:id="379" w:name="_Hlk209966843"/>
            <w:r>
              <w:rPr>
                <w:rFonts w:hint="eastAsia" w:ascii="宋体" w:hAnsi="宋体" w:cs="宋体"/>
                <w:b/>
                <w:bCs/>
                <w:color w:val="000000"/>
                <w:sz w:val="20"/>
                <w:szCs w:val="20"/>
                <w:u w:val="none"/>
              </w:rPr>
              <w:t xml:space="preserve">序号</w:t>
            </w:r>
            <w:r/>
          </w:p>
        </w:tc>
        <w:tc>
          <w:tcPr>
            <w:shd w:val="clear" w:color="auto" w:fill="auto"/>
            <w:tcW w:w="0" w:type="auto"/>
            <w:vAlign w:val="center"/>
            <w:textDirection w:val="lrTb"/>
            <w:noWrap w:val="false"/>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产品名称</w:t>
            </w:r>
            <w:r/>
          </w:p>
        </w:tc>
        <w:tc>
          <w:tcPr>
            <w:shd w:val="clear" w:color="auto" w:fill="auto"/>
            <w:tcW w:w="0" w:type="auto"/>
            <w:vAlign w:val="center"/>
            <w:textDirection w:val="lrTb"/>
            <w:noWrap w:val="false"/>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技术参数</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一、医务保健室</w:t>
            </w:r>
            <w:r/>
          </w:p>
        </w:tc>
      </w:tr>
      <w:tr>
        <w:trPr/>
        <w:tc>
          <w:tcPr>
            <w:shd w:val="clear" w:color="auto" w:fill="auto"/>
            <w:tcW w:w="0" w:type="auto"/>
            <w:vAlign w:val="center"/>
            <w:textDirection w:val="lrTb"/>
            <w:noWrap/>
          </w:tcPr>
          <w:p>
            <w:pPr>
              <w:pStyle w:val="899"/>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诊察床</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参考尺寸长 1900mm×宽 600mm×高 650mm（允许2%以内的偏离）材质说明：不锈钢床框，床腿选用直径为≥38mm，壁厚≥2.0mm的不锈钢管，框选用长不小于25×40×1.2不锈钢方管；床面选用西皮软包，定型海绵床垫</w:t>
            </w:r>
            <w:r/>
          </w:p>
        </w:tc>
      </w:tr>
      <w:tr>
        <w:trPr/>
        <w:tc>
          <w:tcPr>
            <w:shd w:val="clear" w:color="auto" w:fill="auto"/>
            <w:tcW w:w="0" w:type="auto"/>
            <w:vAlign w:val="center"/>
            <w:textDirection w:val="lrTb"/>
            <w:noWrap/>
          </w:tcPr>
          <w:p>
            <w:pPr>
              <w:pStyle w:val="899"/>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诊察桌</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参考尺寸1200mm×600mm×750mm（允许1%以内的偏离）；用料：面板厚≥20mm，其余板厚≥18mm，采用环保型中密度板，三聚氰胺板贴面，PVC封边。</w:t>
            </w:r>
            <w:r/>
          </w:p>
        </w:tc>
      </w:tr>
      <w:tr>
        <w:trPr/>
        <w:tc>
          <w:tcPr>
            <w:shd w:val="clear" w:color="auto" w:fill="auto"/>
            <w:tcW w:w="0" w:type="auto"/>
            <w:vAlign w:val="center"/>
            <w:textDirection w:val="lrTb"/>
            <w:noWrap/>
          </w:tcPr>
          <w:p>
            <w:pPr>
              <w:pStyle w:val="899"/>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诊察椅</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黑色特网，黑色框架；固定扶手；黑色弹力布座；半光黑弓形架；</w:t>
            </w:r>
            <w:r>
              <w:rPr>
                <w:rFonts w:hint="eastAsia" w:ascii="宋体" w:hAnsi="宋体" w:cs="宋体"/>
                <w:color w:val="000000"/>
                <w:sz w:val="20"/>
                <w:szCs w:val="20"/>
                <w:u w:val="none"/>
              </w:rPr>
              <w:br/>
            </w:r>
            <w:r>
              <w:rPr>
                <w:rFonts w:hint="eastAsia" w:ascii="宋体" w:hAnsi="宋体" w:cs="宋体"/>
                <w:color w:val="000000"/>
                <w:sz w:val="20"/>
                <w:szCs w:val="20"/>
                <w:u w:val="none"/>
              </w:rPr>
              <w:t xml:space="preserve">1、面料:采用专用“阻燃布”布料,防潮防污易清洁，柔软舒适透气性强，光泽度好，富于韧性;阻燃布”</w:t>
            </w:r>
            <w:r>
              <w:rPr>
                <w:rFonts w:hint="eastAsia" w:ascii="宋体" w:hAnsi="宋体" w:cs="宋体"/>
                <w:color w:val="000000"/>
                <w:sz w:val="20"/>
                <w:szCs w:val="20"/>
                <w:u w:val="none"/>
              </w:rPr>
              <w:br/>
            </w:r>
            <w:r>
              <w:rPr>
                <w:rFonts w:hint="eastAsia" w:ascii="宋体" w:hAnsi="宋体" w:cs="宋体"/>
                <w:color w:val="000000"/>
                <w:sz w:val="20"/>
                <w:szCs w:val="20"/>
                <w:u w:val="none"/>
              </w:rPr>
              <w:t xml:space="preserve">2、海绵:采用高弹性阻燃海绵，表面有一层防老化保护膜，耐冲击，回弹力强，长时间外力作用下不易变形，抗引燃特性:无续燃、无阴燃。</w:t>
            </w:r>
            <w:r>
              <w:rPr>
                <w:rFonts w:hint="eastAsia" w:ascii="宋体" w:hAnsi="宋体" w:cs="宋体"/>
                <w:color w:val="000000"/>
                <w:sz w:val="20"/>
                <w:szCs w:val="20"/>
                <w:u w:val="none"/>
              </w:rPr>
              <w:br/>
            </w:r>
            <w:r>
              <w:rPr>
                <w:rFonts w:hint="eastAsia" w:ascii="宋体" w:hAnsi="宋体" w:cs="宋体"/>
                <w:color w:val="000000"/>
                <w:sz w:val="20"/>
                <w:szCs w:val="20"/>
                <w:u w:val="none"/>
              </w:rPr>
              <w:t xml:space="preserve">3、高承重金属支架，包含金属件:管材、焊接件、冲压件、喷涂层等达到合格。</w:t>
            </w:r>
            <w:r/>
          </w:p>
        </w:tc>
      </w:tr>
      <w:tr>
        <w:trPr/>
        <w:tc>
          <w:tcPr>
            <w:shd w:val="clear" w:color="auto" w:fill="auto"/>
            <w:tcW w:w="0" w:type="auto"/>
            <w:vAlign w:val="center"/>
            <w:textDirection w:val="lrTb"/>
            <w:noWrap/>
          </w:tcPr>
          <w:p>
            <w:pPr>
              <w:pStyle w:val="899"/>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器械柜</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1.层板可以调节，可拆卸，自由储放各种物品，轻松容纳 多种物品，让办公环境仅仅有条。2.钢化玻璃，受外力破坏时，碎片会成类似蜂窝状钝角碎片，不易对人体造成严重的伤害。3.304不锈钢板材，耐腐蚀/耐酸碱/韧性级别高，健康卫生，食品级304不锈钢不易生菌，无异味。表面拉丝工艺处理，光滑不变形，结构稳定。4.密封胶条，安全升级，防尘防菌，钢化玻璃抗冲击力强，增加卡扣稳固，更进一步加固玻璃。5.品牌钢制锁具，</w:t>
            </w:r>
            <w:r>
              <w:rPr>
                <w:rFonts w:hint="eastAsia" w:ascii="宋体" w:hAnsi="宋体" w:cs="宋体"/>
                <w:color w:val="000000"/>
                <w:sz w:val="20"/>
                <w:szCs w:val="20"/>
                <w:u w:val="none"/>
                <w:lang w:val="en-US" w:eastAsia="zh-CN"/>
              </w:rPr>
              <w:t xml:space="preserve">符合通用锁具标准</w:t>
            </w:r>
            <w:r>
              <w:rPr>
                <w:rFonts w:hint="eastAsia" w:ascii="宋体" w:hAnsi="宋体" w:cs="宋体"/>
                <w:color w:val="000000"/>
                <w:sz w:val="20"/>
                <w:szCs w:val="20"/>
                <w:u w:val="none"/>
              </w:rPr>
              <w:t xml:space="preserve">,</w:t>
            </w:r>
            <w:r>
              <w:rPr>
                <w:rFonts w:hint="eastAsia" w:ascii="宋体" w:hAnsi="宋体" w:cs="宋体"/>
                <w:color w:val="000000"/>
                <w:sz w:val="20"/>
                <w:szCs w:val="20"/>
                <w:u w:val="none"/>
                <w:lang w:val="en-US" w:eastAsia="zh-CN"/>
              </w:rPr>
              <w:t xml:space="preserve">具备防</w:t>
            </w:r>
            <w:r>
              <w:rPr>
                <w:rFonts w:hint="eastAsia" w:ascii="宋体" w:hAnsi="宋体" w:cs="宋体"/>
                <w:color w:val="000000"/>
                <w:sz w:val="20"/>
                <w:szCs w:val="20"/>
                <w:u w:val="none"/>
              </w:rPr>
              <w:t xml:space="preserve">互开</w:t>
            </w:r>
            <w:r>
              <w:rPr>
                <w:rFonts w:hint="eastAsia" w:ascii="宋体" w:hAnsi="宋体" w:cs="宋体"/>
                <w:color w:val="000000"/>
                <w:sz w:val="20"/>
                <w:szCs w:val="20"/>
                <w:u w:val="none"/>
                <w:lang w:val="en-US" w:eastAsia="zh-CN"/>
              </w:rPr>
              <w:t xml:space="preserve">功能</w:t>
            </w:r>
            <w:r>
              <w:rPr>
                <w:rFonts w:hint="eastAsia" w:ascii="宋体" w:hAnsi="宋体" w:cs="宋体"/>
                <w:color w:val="000000"/>
                <w:sz w:val="20"/>
                <w:szCs w:val="20"/>
                <w:u w:val="none"/>
              </w:rPr>
              <w:t xml:space="preserve">。</w:t>
            </w:r>
            <w:r/>
          </w:p>
        </w:tc>
      </w:tr>
      <w:tr>
        <w:trPr/>
        <w:tc>
          <w:tcPr>
            <w:shd w:val="clear" w:color="auto" w:fill="auto"/>
            <w:tcW w:w="0" w:type="auto"/>
            <w:vAlign w:val="center"/>
            <w:textDirection w:val="lrTb"/>
            <w:noWrap/>
          </w:tcPr>
          <w:p>
            <w:pPr>
              <w:pStyle w:val="899"/>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课桌椅测量尺</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360度完全测量；多用途测量工具，量角器、倾角仪和水平尺三合一；量 程：4×90°(0～360°)；显示分辨率： 0.1°；精 度： 0°和90°≤0.1°；其余≤0.2°</w:t>
            </w:r>
            <w:r/>
          </w:p>
        </w:tc>
      </w:tr>
      <w:tr>
        <w:trPr/>
        <w:tc>
          <w:tcPr>
            <w:shd w:val="clear" w:color="auto" w:fill="auto"/>
            <w:tcW w:w="0" w:type="auto"/>
            <w:vAlign w:val="center"/>
            <w:textDirection w:val="lrTb"/>
            <w:noWrap/>
          </w:tcPr>
          <w:p>
            <w:pPr>
              <w:pStyle w:val="899"/>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照度计</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数字照度计光照度测试仪，高精度亮度计测光。</w:t>
            </w:r>
            <w:r/>
          </w:p>
        </w:tc>
      </w:tr>
      <w:tr>
        <w:trPr/>
        <w:tc>
          <w:tcPr>
            <w:shd w:val="clear" w:color="auto" w:fill="auto"/>
            <w:tcW w:w="0" w:type="auto"/>
            <w:vAlign w:val="center"/>
            <w:textDirection w:val="lrTb"/>
            <w:noWrap/>
          </w:tcPr>
          <w:p>
            <w:pPr>
              <w:pStyle w:val="899"/>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视力表灯箱//遮掩板/指挥棒</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 适合中小学卫生室测试学生的视力用。2. 产品参考规格：5.0M标准对数视力表。3.箱体采用高强度铝合金型材整体成型，刚性好，重量轻，不易变型。箱体内外采用静电喷涂，美观耐用。4. 视力表的面框采用高强度铝合金型材，四个连接角采用钢板连接，表面采用ABS塑料装饰。5. 选用荧光灯作为光源、配置电子镇流器，电压在150-260V时能正常工作，发光稳定、亮度均匀。</w:t>
            </w:r>
            <w:r/>
          </w:p>
        </w:tc>
      </w:tr>
      <w:tr>
        <w:trPr/>
        <w:tc>
          <w:tcPr>
            <w:shd w:val="clear" w:color="auto" w:fill="auto"/>
            <w:tcW w:w="0" w:type="auto"/>
            <w:vAlign w:val="center"/>
            <w:textDirection w:val="lrTb"/>
            <w:noWrap/>
          </w:tcPr>
          <w:p>
            <w:pPr>
              <w:pStyle w:val="899"/>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辨色图谱</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辨色图谱用于引导被检测者熟悉辨色流程，图案设计简洁直观，色彩单一且鲜明，助力检测者快速进入检测状态。各图案色彩必须清晰、纯正，严格按照色彩标准选取颜色进行打印，确保色彩还原度高，无偏色、褪色现象。不同颜色之间的对比度与明度差符合色觉检测专业要求，能够精准呈现设计意图，避免因色彩偏差导致检测结果误判。</w:t>
            </w:r>
            <w:r/>
          </w:p>
        </w:tc>
      </w:tr>
      <w:tr>
        <w:trPr/>
        <w:tc>
          <w:tcPr>
            <w:shd w:val="clear" w:color="auto" w:fill="auto"/>
            <w:tcW w:w="0" w:type="auto"/>
            <w:vAlign w:val="center"/>
            <w:textDirection w:val="lrTb"/>
            <w:noWrap/>
          </w:tcPr>
          <w:p>
            <w:pPr>
              <w:pStyle w:val="899"/>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听诊器</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家用医用多功能听诊器，合金材质厚重听头，不锈钢材质传音耳挂，带收口导音管，密闭式葫芦耳塞，聚酯塑料膜片。</w:t>
            </w:r>
            <w:r/>
          </w:p>
        </w:tc>
      </w:tr>
      <w:tr>
        <w:trPr/>
        <w:tc>
          <w:tcPr>
            <w:shd w:val="clear" w:color="auto" w:fill="auto"/>
            <w:tcW w:w="0" w:type="auto"/>
            <w:vAlign w:val="center"/>
            <w:textDirection w:val="lrTb"/>
            <w:noWrap/>
          </w:tcPr>
          <w:p>
            <w:pPr>
              <w:pStyle w:val="899"/>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身高坐高计</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身高测量范围不小于60-200cm，坐高测量范围为40-120cm,分度值是0.1cm,金属标杆。</w:t>
            </w:r>
            <w:r/>
          </w:p>
        </w:tc>
      </w:tr>
      <w:tr>
        <w:trPr/>
        <w:tc>
          <w:tcPr>
            <w:shd w:val="clear" w:color="auto" w:fill="auto"/>
            <w:tcW w:w="0" w:type="auto"/>
            <w:vAlign w:val="center"/>
            <w:textDirection w:val="lrTb"/>
            <w:noWrap/>
          </w:tcPr>
          <w:p>
            <w:pPr>
              <w:pStyle w:val="899"/>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污物桶</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用途：用于盛放废物材质：环保高密度聚乙烯材质，样式：脚踏式容量≥ 15L</w:t>
            </w:r>
            <w:r/>
          </w:p>
        </w:tc>
      </w:tr>
      <w:tr>
        <w:trPr/>
        <w:tc>
          <w:tcPr>
            <w:shd w:val="clear" w:color="auto" w:fill="auto"/>
            <w:tcW w:w="0" w:type="auto"/>
            <w:vAlign w:val="center"/>
            <w:textDirection w:val="lrTb"/>
            <w:noWrap/>
          </w:tcPr>
          <w:p>
            <w:pPr>
              <w:pStyle w:val="899"/>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紫外线灯</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光源类型为 UVC 波段（200-280nm）、功率 10-100W、杀灭对数值≥3.00（对大肠杆菌 / 金黄色葡萄球菌/铜绿假单胞菌）、带定时功能（1-60min 可调），使用寿命≥1000 小时。</w:t>
            </w:r>
            <w:r/>
          </w:p>
        </w:tc>
      </w:tr>
      <w:tr>
        <w:trPr/>
        <w:tc>
          <w:tcPr>
            <w:shd w:val="clear" w:color="auto" w:fill="auto"/>
            <w:tcW w:w="0" w:type="auto"/>
            <w:vAlign w:val="center"/>
            <w:textDirection w:val="lrTb"/>
            <w:noWrap/>
          </w:tcPr>
          <w:p>
            <w:pPr>
              <w:pStyle w:val="899"/>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杠杆式体重秤</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最大秤量：≥140kg；身长器测量范围：80-210cm；最小分度值：≤100g；承重板面积参考：37.5×27.5cm；外形尺寸参考：57×43.7×131.7cm（允许3%以内的偏离）</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二、医务处置室</w:t>
            </w:r>
            <w:r/>
          </w:p>
        </w:tc>
      </w:tr>
      <w:tr>
        <w:trPr/>
        <w:tc>
          <w:tcPr>
            <w:shd w:val="clear" w:color="auto" w:fill="auto"/>
            <w:tcW w:w="0" w:type="auto"/>
            <w:vAlign w:val="center"/>
            <w:textDirection w:val="lrTb"/>
            <w:noWrap/>
          </w:tcPr>
          <w:p>
            <w:pPr>
              <w:pStyle w:val="899"/>
              <w:numPr>
                <w:ilvl w:val="0"/>
                <w:numId w:val="5"/>
              </w:numPr>
              <w:contextualSpacing w:val="0"/>
              <w:jc w:val="center"/>
              <w:widowControl/>
              <w:tabs>
                <w:tab w:val="left" w:pos="425" w:leader="none"/>
              </w:tabs>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冰箱</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参考尺寸1380mm*545mm*616mm（允许3%以内的偏离），高效抑菌除异味，空气清新不串，物理活性成分高效抑菌、除异味，抑菌率99.9% 以上，净味率≥95%，  异味气体去除率*99. 9%以上 ，抗菌率* 95.4。2.内置电子温控，一键直达新鲜，内置横向调温界面，多种档位模式一键快捷选，储鲜更简单。3.风冷无霜，一级能耗。4.容积不小于210L,单开门。</w:t>
            </w:r>
            <w:r/>
          </w:p>
        </w:tc>
      </w:tr>
      <w:tr>
        <w:trPr/>
        <w:tc>
          <w:tcPr>
            <w:shd w:val="clear" w:color="auto" w:fill="auto"/>
            <w:tcW w:w="0" w:type="auto"/>
            <w:vAlign w:val="center"/>
            <w:textDirection w:val="lrTb"/>
            <w:noWrap/>
          </w:tcPr>
          <w:p>
            <w:pPr>
              <w:pStyle w:val="899"/>
              <w:numPr>
                <w:ilvl w:val="0"/>
                <w:numId w:val="5"/>
              </w:numPr>
              <w:contextualSpacing w:val="0"/>
              <w:jc w:val="center"/>
              <w:widowControl/>
              <w:tabs>
                <w:tab w:val="left" w:pos="425" w:leader="none"/>
              </w:tabs>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外伤处理器械</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参考尺寸：26×17×16cm（允许3%以内的偏离）铝合金箱.方便收纳例如：脱脂纱布.胶带.药棉.棚带.创口贴.碘伏等医疗器具及用品。 </w:t>
            </w:r>
            <w:r/>
          </w:p>
        </w:tc>
      </w:tr>
      <w:tr>
        <w:trPr/>
        <w:tc>
          <w:tcPr>
            <w:shd w:val="clear" w:color="auto" w:fill="auto"/>
            <w:tcW w:w="0" w:type="auto"/>
            <w:vAlign w:val="center"/>
            <w:textDirection w:val="lrTb"/>
            <w:noWrap/>
          </w:tcPr>
          <w:p>
            <w:pPr>
              <w:pStyle w:val="899"/>
              <w:numPr>
                <w:ilvl w:val="0"/>
                <w:numId w:val="5"/>
              </w:numPr>
              <w:contextualSpacing w:val="0"/>
              <w:jc w:val="center"/>
              <w:widowControl/>
              <w:tabs>
                <w:tab w:val="left" w:pos="425" w:leader="none"/>
              </w:tabs>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药品柜</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参考尺寸：1200×500×1800(mm)（允许2%以内的偏离）材质：304不锈钢，耐磨防锈抗腐蚀，结构稳定更耐用。金属连接件，门上玻璃采用≥5mm玻璃，符合国标或省标，上下对开门。</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三、医务治疗室</w:t>
            </w:r>
            <w:r/>
          </w:p>
        </w:tc>
      </w:tr>
      <w:tr>
        <w:trPr/>
        <w:tc>
          <w:tcPr>
            <w:shd w:val="clear" w:color="auto" w:fill="auto"/>
            <w:tcW w:w="0" w:type="auto"/>
            <w:vAlign w:val="center"/>
            <w:textDirection w:val="lrTb"/>
            <w:noWrap/>
          </w:tcPr>
          <w:p>
            <w:pPr>
              <w:pStyle w:val="899"/>
              <w:numPr>
                <w:ilvl w:val="0"/>
                <w:numId w:val="6"/>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器械柜</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1.层板可以调节，可拆卸，自由储放各种物品，轻松容纳 多种物品，让办公环境仅仅有条。2.钢化玻璃，受外力破坏时，碎片会成类似蜂窝状钝角碎片，不易对人体造成严重的伤害。3.304不锈钢板材，耐腐蚀/耐酸碱/韧性级别高，健康卫生，食品级304不锈钢不易生菌，无异味。表面拉丝工艺处理，光滑不变形，结构稳定。4.密封胶条，安全升级，防尘防菌，钢化玻璃抗冲击力强，增加卡扣稳固，更进一步加固玻璃。5.品牌钢制锁具，</w:t>
            </w:r>
            <w:r>
              <w:rPr>
                <w:rFonts w:hint="eastAsia" w:ascii="宋体" w:hAnsi="宋体" w:cs="宋体"/>
                <w:color w:val="auto"/>
                <w:sz w:val="20"/>
                <w:szCs w:val="20"/>
                <w:u w:val="none"/>
                <w:lang w:val="en-US" w:eastAsia="zh-CN"/>
              </w:rPr>
              <w:t xml:space="preserve">符合通用锁具标准</w:t>
            </w:r>
            <w:r>
              <w:rPr>
                <w:rFonts w:hint="eastAsia" w:ascii="宋体" w:hAnsi="宋体" w:cs="宋体"/>
                <w:color w:val="auto"/>
                <w:sz w:val="20"/>
                <w:szCs w:val="20"/>
                <w:u w:val="none"/>
              </w:rPr>
              <w:t xml:space="preserve">,</w:t>
            </w:r>
            <w:r>
              <w:rPr>
                <w:rFonts w:hint="eastAsia" w:ascii="宋体" w:hAnsi="宋体" w:cs="宋体"/>
                <w:color w:val="auto"/>
                <w:sz w:val="20"/>
                <w:szCs w:val="20"/>
                <w:u w:val="none"/>
                <w:lang w:val="en-US" w:eastAsia="zh-CN"/>
              </w:rPr>
              <w:t xml:space="preserve">具备防</w:t>
            </w:r>
            <w:r>
              <w:rPr>
                <w:rFonts w:hint="eastAsia" w:ascii="宋体" w:hAnsi="宋体" w:cs="宋体"/>
                <w:color w:val="auto"/>
                <w:sz w:val="20"/>
                <w:szCs w:val="20"/>
                <w:u w:val="none"/>
              </w:rPr>
              <w:t xml:space="preserve">互开</w:t>
            </w:r>
            <w:r>
              <w:rPr>
                <w:rFonts w:hint="eastAsia" w:ascii="宋体" w:hAnsi="宋体" w:cs="宋体"/>
                <w:color w:val="auto"/>
                <w:sz w:val="20"/>
                <w:szCs w:val="20"/>
                <w:u w:val="none"/>
                <w:lang w:val="en-US" w:eastAsia="zh-CN"/>
              </w:rPr>
              <w:t xml:space="preserve">功能</w:t>
            </w:r>
            <w:r>
              <w:rPr>
                <w:rFonts w:hint="eastAsia" w:ascii="宋体" w:hAnsi="宋体" w:cs="宋体"/>
                <w:color w:val="000000"/>
                <w:sz w:val="20"/>
                <w:szCs w:val="20"/>
                <w:u w:val="none"/>
              </w:rPr>
              <w:t xml:space="preserve">。</w:t>
            </w:r>
            <w:r/>
          </w:p>
        </w:tc>
      </w:tr>
      <w:tr>
        <w:trPr/>
        <w:tc>
          <w:tcPr>
            <w:shd w:val="clear" w:color="auto" w:fill="auto"/>
            <w:tcW w:w="0" w:type="auto"/>
            <w:vAlign w:val="center"/>
            <w:textDirection w:val="lrTb"/>
            <w:noWrap/>
          </w:tcPr>
          <w:p>
            <w:pPr>
              <w:pStyle w:val="899"/>
              <w:numPr>
                <w:ilvl w:val="0"/>
                <w:numId w:val="6"/>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急救箱</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尺寸不小于：长280mm*宽170mm*高180mm,应急储备套装，铝合金材质，多功能三层双开箱，双扣安全锁。</w:t>
            </w:r>
            <w:r/>
          </w:p>
        </w:tc>
      </w:tr>
      <w:tr>
        <w:trPr/>
        <w:tc>
          <w:tcPr>
            <w:shd w:val="clear" w:color="auto" w:fill="auto"/>
            <w:tcW w:w="0" w:type="auto"/>
            <w:vAlign w:val="center"/>
            <w:textDirection w:val="lrTb"/>
            <w:noWrap/>
          </w:tcPr>
          <w:p>
            <w:pPr>
              <w:pStyle w:val="899"/>
              <w:numPr>
                <w:ilvl w:val="0"/>
                <w:numId w:val="6"/>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诊察桌</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参考尺寸1200mm×600mm×750mm（允许1%以内的偏离）；用料：面板厚≥20mm，其余板厚≥18mm，采用环保型中密度板，三聚氰胺板贴面，PVC封边。</w:t>
            </w:r>
            <w:r/>
          </w:p>
        </w:tc>
      </w:tr>
      <w:tr>
        <w:trPr/>
        <w:tc>
          <w:tcPr>
            <w:shd w:val="clear" w:color="auto" w:fill="auto"/>
            <w:tcW w:w="0" w:type="auto"/>
            <w:vAlign w:val="center"/>
            <w:textDirection w:val="lrTb"/>
            <w:noWrap/>
          </w:tcPr>
          <w:p>
            <w:pPr>
              <w:pStyle w:val="899"/>
              <w:numPr>
                <w:ilvl w:val="0"/>
                <w:numId w:val="6"/>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诊察椅</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黑色特网，黑色框架；固定扶手；黑色弹力布座；半光黑弓形架，1、面料:采用专用“阻燃布”布料,防潮防污易清洁，柔软舒适透气性强，光泽度好，富于韧性;阻燃布”2、海绵:采用高弹性阻燃海绵，表面有一层防老化保护膜，耐冲击，回弹力强，长时间外力作用下不易变形，抗引燃特性:无续燃、无阴燃。3、高承重金属支架，包含金属件:管材、焊接件、冲压件、喷涂层等达到合格。</w:t>
            </w:r>
            <w:r/>
          </w:p>
        </w:tc>
      </w:tr>
      <w:tr>
        <w:trPr/>
        <w:tc>
          <w:tcPr>
            <w:shd w:val="clear" w:color="auto" w:fill="auto"/>
            <w:tcW w:w="0" w:type="auto"/>
            <w:vAlign w:val="center"/>
            <w:textDirection w:val="lrTb"/>
            <w:noWrap/>
          </w:tcPr>
          <w:p>
            <w:pPr>
              <w:pStyle w:val="899"/>
              <w:numPr>
                <w:ilvl w:val="0"/>
                <w:numId w:val="6"/>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诊察床</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参考尺寸长 1900mm×宽 600mm×高 650mm（允许2%以内的偏离）材质说明：不锈钢床框，床腿选用直径为≥38mm，壁厚≥2.0mm的不锈钢管，框选用长不小于25×40×1.2不锈钢方管；床面选用西皮软包，定型海绵床垫</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四、乒乓球室</w:t>
            </w:r>
            <w:r/>
          </w:p>
        </w:tc>
      </w:tr>
      <w:tr>
        <w:trPr/>
        <w:tc>
          <w:tcPr>
            <w:shd w:val="clear" w:color="auto" w:fill="auto"/>
            <w:tcW w:w="0" w:type="auto"/>
            <w:vAlign w:val="center"/>
            <w:textDirection w:val="lrTb"/>
            <w:noWrap/>
          </w:tcPr>
          <w:p>
            <w:pPr>
              <w:pStyle w:val="899"/>
              <w:numPr>
                <w:ilvl w:val="0"/>
                <w:numId w:val="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乒乓球网</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乒乓球网架，金属加厚材质，室内外通用，坚固耐用，聚乙烯材质编织网，不发硬，结实寿命长。</w:t>
            </w:r>
            <w:r/>
          </w:p>
        </w:tc>
      </w:tr>
      <w:tr>
        <w:trPr/>
        <w:tc>
          <w:tcPr>
            <w:shd w:val="clear" w:color="auto" w:fill="auto"/>
            <w:tcW w:w="0" w:type="auto"/>
            <w:vAlign w:val="center"/>
            <w:textDirection w:val="lrTb"/>
            <w:noWrap/>
          </w:tcPr>
          <w:p>
            <w:pPr>
              <w:pStyle w:val="899"/>
              <w:numPr>
                <w:ilvl w:val="0"/>
                <w:numId w:val="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乒乓球记分桌</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参考尺寸：825*755*375mm（允许2%以内的偏离）;折叠式;高密度纤维板。</w:t>
            </w:r>
            <w:r/>
          </w:p>
        </w:tc>
      </w:tr>
      <w:tr>
        <w:trPr/>
        <w:tc>
          <w:tcPr>
            <w:shd w:val="clear" w:color="auto" w:fill="auto"/>
            <w:tcW w:w="0" w:type="auto"/>
            <w:vAlign w:val="center"/>
            <w:textDirection w:val="lrTb"/>
            <w:noWrap/>
          </w:tcPr>
          <w:p>
            <w:pPr>
              <w:pStyle w:val="899"/>
              <w:numPr>
                <w:ilvl w:val="0"/>
                <w:numId w:val="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乒乓球拍</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国产乒乓球拍，经典双面橡胶反胶，增强摩擦，椴木底板，耐磨耐用。</w:t>
            </w:r>
            <w:r/>
          </w:p>
        </w:tc>
      </w:tr>
      <w:tr>
        <w:trPr/>
        <w:tc>
          <w:tcPr>
            <w:shd w:val="clear" w:color="auto" w:fill="auto"/>
            <w:tcW w:w="0" w:type="auto"/>
            <w:vAlign w:val="center"/>
            <w:textDirection w:val="lrTb"/>
            <w:noWrap/>
          </w:tcPr>
          <w:p>
            <w:pPr>
              <w:pStyle w:val="899"/>
              <w:numPr>
                <w:ilvl w:val="0"/>
                <w:numId w:val="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乒乓球计分牌</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国标四位或六位式,0~9数字组合,折翻方便,主支撑金属材料,翻牌塑料材质。</w:t>
            </w:r>
            <w:r/>
          </w:p>
        </w:tc>
      </w:tr>
      <w:tr>
        <w:trPr/>
        <w:tc>
          <w:tcPr>
            <w:shd w:val="clear" w:color="auto" w:fill="auto"/>
            <w:tcW w:w="0" w:type="auto"/>
            <w:vAlign w:val="center"/>
            <w:textDirection w:val="lrTb"/>
            <w:noWrap/>
          </w:tcPr>
          <w:p>
            <w:pPr>
              <w:pStyle w:val="899"/>
              <w:numPr>
                <w:ilvl w:val="0"/>
                <w:numId w:val="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乒乓球发球机</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额定功率≥48W，额定电压100-240V，出球速度4-40m/s，出球频率40-80个/分钟。出球落点：可定点.全台任意多落点。最大储球量：≥100个。可多角度出球。</w:t>
            </w:r>
            <w:r/>
          </w:p>
        </w:tc>
      </w:tr>
      <w:tr>
        <w:trPr/>
        <w:tc>
          <w:tcPr>
            <w:shd w:val="clear" w:color="auto" w:fill="auto"/>
            <w:tcW w:w="0" w:type="auto"/>
            <w:vAlign w:val="center"/>
            <w:textDirection w:val="lrTb"/>
            <w:noWrap/>
          </w:tcPr>
          <w:p>
            <w:pPr>
              <w:pStyle w:val="899"/>
              <w:numPr>
                <w:ilvl w:val="0"/>
                <w:numId w:val="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乒乓球场地围挡</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乒乓球挡板，场地围栏，加厚牛津布，可折叠移动。收纳方便不占地方。</w:t>
            </w:r>
            <w:r/>
          </w:p>
        </w:tc>
      </w:tr>
      <w:tr>
        <w:trPr/>
        <w:tc>
          <w:tcPr>
            <w:shd w:val="clear" w:color="auto" w:fill="auto"/>
            <w:tcW w:w="0" w:type="auto"/>
            <w:vAlign w:val="center"/>
            <w:textDirection w:val="lrTb"/>
            <w:noWrap/>
          </w:tcPr>
          <w:p>
            <w:pPr>
              <w:pStyle w:val="899"/>
              <w:numPr>
                <w:ilvl w:val="0"/>
                <w:numId w:val="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指纹存包柜</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参考尺寸：2550* 460*1800mm（允许5%以内的偏离） 36门指纹存包柜，便捷新存储，采用加厚冷轧钢板，厚度≧0.7mm，表面静电喷塑，绿色环保；</w:t>
            </w:r>
            <w:r/>
          </w:p>
        </w:tc>
      </w:tr>
      <w:tr>
        <w:trPr/>
        <w:tc>
          <w:tcPr>
            <w:shd w:val="clear" w:color="auto" w:fill="auto"/>
            <w:tcW w:w="0" w:type="auto"/>
            <w:vAlign w:val="center"/>
            <w:textDirection w:val="lrTb"/>
            <w:noWrap/>
          </w:tcPr>
          <w:p>
            <w:pPr>
              <w:pStyle w:val="899"/>
              <w:numPr>
                <w:ilvl w:val="0"/>
                <w:numId w:val="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乒乓球桌</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适用场地：室内，台面颜色：蓝色，台面材质：中密度板（MDF），台面参考尺寸：台长：2740mm、台宽：1525mm、台高：760mm、台面厚度：≥18mm；物理性能：弹性：230-260mm、弹性均匀度：≤10mm、球台稳2、定性：＜10台面光泽度：≤15；3、产品描述：单折式乒乓球台，结构稳定，半副球台可竖放，移动方便，可供专业比赛和训练使用，内含高档网架1副。</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五、多功能健身房</w:t>
            </w:r>
            <w:r/>
          </w:p>
        </w:tc>
      </w:tr>
      <w:tr>
        <w:trPr/>
        <w:tc>
          <w:tcPr>
            <w:shd w:val="clear" w:color="auto" w:fill="auto"/>
            <w:tcW w:w="0" w:type="auto"/>
            <w:vAlign w:val="center"/>
            <w:textDirection w:val="lrTb"/>
            <w:noWrap/>
          </w:tcPr>
          <w:p>
            <w:pPr>
              <w:pStyle w:val="899"/>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史密斯机</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主立管尺寸不小于：50mm*100mm*3.0mm平椭圆管2.喷砂除锈工艺和静电喷涂工艺相辅相成，采用两次喷涂工艺3.传动部分：直线轴承导轨，保证器械运行顺畅；4.灵活的杠铃架挂钩与多位置齿孔，可随时钩挂，保障安全；5.橡胶材质脚垫，有效防滑并防止磕碰地板；6.最大训练载荷：≥150kg7.最大配重：≥300kg8.设备参考尺寸:2285mm*1376mm*2340mm（允许3%以内的偏离） </w:t>
            </w:r>
            <w:r/>
          </w:p>
        </w:tc>
      </w:tr>
      <w:tr>
        <w:trPr/>
        <w:tc>
          <w:tcPr>
            <w:shd w:val="clear" w:color="auto" w:fill="auto"/>
            <w:tcW w:w="0" w:type="auto"/>
            <w:vAlign w:val="center"/>
            <w:textDirection w:val="lrTb"/>
            <w:noWrap/>
          </w:tcPr>
          <w:p>
            <w:pPr>
              <w:pStyle w:val="899"/>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动感单车</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主立管规格：不小于40mm*60mm*2mm矩形管；2.中轴和脚踏：单车采用直径≧40mm高强度中轴和高强度大脚踏，降低故障率延长使用寿命；3.防护罩:ABS全封闭注塑外壳设计，防止飞轮被汗水腐蚀；4.刹车系统：采用下压式刹车设计，延长刹车系统使用寿命；5.运动方向：可双向运转，自行选择；6.传动方式：皮带传动；7.阻力形式：毛毡摩擦；8.外形参考尺寸：1160mm*670mm*1150mm（允许3%以内的偏离）；9.最大承重：≧110kg</w:t>
            </w:r>
            <w:r/>
          </w:p>
        </w:tc>
      </w:tr>
      <w:tr>
        <w:trPr/>
        <w:tc>
          <w:tcPr>
            <w:shd w:val="clear" w:color="auto" w:fill="auto"/>
            <w:tcW w:w="0" w:type="auto"/>
            <w:vAlign w:val="center"/>
            <w:textDirection w:val="lrTb"/>
            <w:noWrap/>
          </w:tcPr>
          <w:p>
            <w:pPr>
              <w:pStyle w:val="899"/>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坐式胸肌推举训练器</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产品描述：主要锻炼胸大肌群。锻炼者在选择合适重量后，通过推动把手，使胸部与手臂得到有效锻炼。产品参数：1.主立管尺寸：≧T60mm*1</w:t>
            </w:r>
            <w:r>
              <w:rPr>
                <w:rFonts w:hint="eastAsia" w:ascii="宋体" w:hAnsi="宋体" w:cs="宋体"/>
                <w:color w:val="000000"/>
                <w:sz w:val="20"/>
                <w:szCs w:val="20"/>
                <w:u w:val="none"/>
              </w:rPr>
              <w:t xml:space="preserve">20mm*3.0mm；2.配重采用纯钢配重片，提升产品耐久度，标准配重≧80kg；3.三种数据显示功能，训练计数器拥有倒计时计数、记录训练时间和卡路里消耗；4.采用直径为≥6.3mm钢丝绳，钢丝绳内为“六股九线”的配置，十万次以上拉伸；5.采用双轨分动式运动设计，可以进行单臂运动，突出运动的人性化；6.采用直径为≥106.2mm的铝合金滑轮，提高设备耐久度和运动顺畅度；7.手柄采用高强度TPV材料；8.最大训练载荷：≥150kg9.外形参考尺寸：1470mm*1534mm*1594mm（允许3%以内的偏离）</w:t>
            </w:r>
            <w:r/>
          </w:p>
        </w:tc>
      </w:tr>
      <w:tr>
        <w:trPr/>
        <w:tc>
          <w:tcPr>
            <w:shd w:val="clear" w:color="auto" w:fill="auto"/>
            <w:tcW w:w="0" w:type="auto"/>
            <w:vAlign w:val="center"/>
            <w:textDirection w:val="lrTb"/>
            <w:noWrap/>
          </w:tcPr>
          <w:p>
            <w:pPr>
              <w:pStyle w:val="899"/>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健腹轮</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1、参考尺寸：110*14.5mm（允许1%以内的偏离）2.材质：PP、TPE、铁、EVA、NBR、3.用途：锻炼关节、腹部、核心肌肉群 4.特点：触摸智显全面屏、5大计数模式、强力回弹、自动刹车</w:t>
            </w:r>
            <w:r/>
          </w:p>
        </w:tc>
      </w:tr>
      <w:tr>
        <w:trPr/>
        <w:tc>
          <w:tcPr>
            <w:shd w:val="clear" w:color="auto" w:fill="auto"/>
            <w:tcW w:w="0" w:type="auto"/>
            <w:vAlign w:val="center"/>
            <w:textDirection w:val="lrTb"/>
            <w:noWrap/>
          </w:tcPr>
          <w:p>
            <w:pPr>
              <w:pStyle w:val="899"/>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综训机</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技术说明1、分体式结构造型设计，BDL造型；2、稳定可靠的结构，分别进行稳定性、静载、以及疲劳测试，确保结构设计合理符合安规要求；3、便捷的安装、拆卸和后期维护-简单的结构设计，使后期组装和拆卸更加方便。有说明书指导资料，可以直接指导无专业经验的终端用户，简单的组装和拆卸机台；4、运输方便安全-根据国标要求，对分装机台进行分箱的摔箱、震动等安全测</w:t>
            </w:r>
            <w:r>
              <w:rPr>
                <w:rFonts w:hint="eastAsia" w:ascii="宋体" w:hAnsi="宋体" w:cs="宋体"/>
                <w:color w:val="000000"/>
                <w:sz w:val="20"/>
                <w:szCs w:val="20"/>
                <w:u w:val="none"/>
              </w:rPr>
              <w:t xml:space="preserve">试，确保包装设计合理，保证运输过程中安全可靠；5、丰富完善的功能，更加多样化-MWH；6、占地面积更加紧凑-尽可能小的控制整机占地面积，提高空间利用率； 参考尺寸：(L)1645*(W)1418*(H)2457（允许3%以内的偏离）N.W.：≥171KG                                                                                                                      含哑铃凳+奥杆+杠铃片</w:t>
            </w:r>
            <w:r/>
          </w:p>
        </w:tc>
      </w:tr>
      <w:tr>
        <w:trPr/>
        <w:tc>
          <w:tcPr>
            <w:shd w:val="clear" w:color="auto" w:fill="auto"/>
            <w:tcW w:w="0" w:type="auto"/>
            <w:vAlign w:val="center"/>
            <w:textDirection w:val="lrTb"/>
            <w:noWrap/>
          </w:tcPr>
          <w:p>
            <w:pPr>
              <w:pStyle w:val="899"/>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划船机</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1.阻力系统：风阻系统2.阻力功率：≥300W3.阻力等级：≥10档 4.仪表：≥5寸LED显示屏，≥60度可调式5.仪表功能显示：速度、时间、距离、手握心率、卡路里、瓦特、蓝牙APP数据传输 6.4种用户程序时间、距离、热量，卡路里（可保存4个用户运动模式）、4种运动模式（时间、距离、热量，卡路里）7.无线心率控制功能、心率恢复功能  8.参考尺寸：2240*600*790mm（允许4%以内的偏离）9.最大承重：≧150KG  </w:t>
            </w:r>
            <w:r/>
          </w:p>
        </w:tc>
      </w:tr>
      <w:tr>
        <w:trPr/>
        <w:tc>
          <w:tcPr>
            <w:shd w:val="clear" w:color="auto" w:fill="auto"/>
            <w:tcW w:w="0" w:type="auto"/>
            <w:vAlign w:val="center"/>
            <w:textDirection w:val="lrTb"/>
            <w:noWrap/>
          </w:tcPr>
          <w:p>
            <w:pPr>
              <w:pStyle w:val="899"/>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可调仰卧板</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主立管规格不小于:50mmX100mmX2.5mm平椭2.产品采用一次成型坐垫，聚氨酯发泡工艺，保证坐垫永不变形，永不塌陷3.喷砂除锈工艺和静电喷涂工艺相辅相成，采用两次喷涂工艺；4.橡胶材质脚垫，有效防滑并防止磕碰地板；5.最大训练载荷：≥150kg；6.外形参考尺寸:1848×726×941mm（允许3%以内的偏离）</w:t>
            </w:r>
            <w:r/>
          </w:p>
        </w:tc>
      </w:tr>
      <w:tr>
        <w:trPr/>
        <w:tc>
          <w:tcPr>
            <w:shd w:val="clear" w:color="auto" w:fill="auto"/>
            <w:tcW w:w="0" w:type="auto"/>
            <w:vAlign w:val="center"/>
            <w:textDirection w:val="lrTb"/>
            <w:noWrap/>
          </w:tcPr>
          <w:p>
            <w:pPr>
              <w:pStyle w:val="899"/>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杠铃套装</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1.外部包胶处理，环保材质。2.内圈采用镀鉻处理防滑，不生锈。3.规格：5kg、10kg、15kg、20kg、25kg各2片。                                  </w:t>
            </w:r>
            <w:r>
              <w:rPr>
                <w:rFonts w:hint="eastAsia" w:ascii="宋体" w:hAnsi="宋体" w:cs="宋体"/>
                <w:color w:val="000000"/>
                <w:sz w:val="20"/>
                <w:szCs w:val="20"/>
                <w:u w:val="none"/>
              </w:rPr>
              <w:t xml:space="preserve">                                                                                                                                                                                                                           4.材质：45号钢，带铜套，杆重20公斤，承重≥300公斤，≥2.2米  </w:t>
            </w:r>
            <w:r/>
          </w:p>
        </w:tc>
      </w:tr>
      <w:tr>
        <w:trPr/>
        <w:tc>
          <w:tcPr>
            <w:shd w:val="clear" w:color="auto" w:fill="auto"/>
            <w:tcW w:w="0" w:type="auto"/>
            <w:vAlign w:val="center"/>
            <w:textDirection w:val="lrTb"/>
            <w:noWrap/>
          </w:tcPr>
          <w:p>
            <w:pPr>
              <w:pStyle w:val="899"/>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高拉背训练器</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1.主立管尺寸</w:t>
            </w:r>
            <w:r>
              <w:rPr>
                <w:rFonts w:hint="eastAsia" w:ascii="宋体" w:hAnsi="宋体" w:cs="宋体"/>
                <w:color w:val="000000"/>
                <w:sz w:val="20"/>
                <w:szCs w:val="20"/>
                <w:u w:val="none"/>
              </w:rPr>
              <w:t xml:space="preserve">不小于：T60mm*120mm*3.0mm；2.配重采用纯钢配重片，提升产品耐久度，标准配重≧80kg；3.三种数据显示功能，训练计数器拥有倒计时计数、记录训练时间和卡路里消耗；4.采用直径为≥6.3mm钢丝绳，钢丝绳内为“六股九线”的高强度配置，轻松实现十万次以上拉伸；5.采用直径为≥106.2mm的铝合金滑轮，提高设备耐久度和运动顺畅度；6.手柄采用高强度TPV材料，永不破损，提高产品耐久度；7.最大训练载荷：≥150kg8.外形参考尺寸：1537mm*1957mm*1950mm （允许3%以内的偏离）</w:t>
            </w:r>
            <w:r/>
          </w:p>
        </w:tc>
      </w:tr>
      <w:tr>
        <w:trPr/>
        <w:tc>
          <w:tcPr>
            <w:shd w:val="clear" w:color="auto" w:fill="auto"/>
            <w:tcW w:w="0" w:type="auto"/>
            <w:vAlign w:val="center"/>
            <w:textDirection w:val="lrTb"/>
            <w:noWrap/>
          </w:tcPr>
          <w:p>
            <w:pPr>
              <w:pStyle w:val="899"/>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双层哑铃架</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产品参数：1.主立管参考尺寸:50mmX100mmX3.0mm平椭2.喷砂除锈工艺和静电喷涂工艺相辅相成，采用两次喷涂工艺；3.最大训练载荷：≥800kg；4.外形参考尺寸:2090×848×888mm（允许3%以内的偏离）5.存储数量≥10对哑铃，含月牙式防滑垫，保障哑铃存放稳定；</w:t>
            </w:r>
            <w:r/>
          </w:p>
        </w:tc>
      </w:tr>
      <w:tr>
        <w:trPr/>
        <w:tc>
          <w:tcPr>
            <w:shd w:val="clear" w:color="auto" w:fill="auto"/>
            <w:tcW w:w="0" w:type="auto"/>
            <w:vAlign w:val="center"/>
            <w:textDirection w:val="lrTb"/>
            <w:noWrap/>
          </w:tcPr>
          <w:p>
            <w:pPr>
              <w:pStyle w:val="899"/>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台球桌</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主材：脚架实木与胶板结合台面：A级大理石台面，上邦：橡木指接，不变形，佑霖胶边台尼：国产自动回球金奖黑盒球一盒，球杆≧4支，架杆≧1支，皮头≧25粒，巧克≧12粒，三角架≧1个，放杆架≧1付，毛刷≧1个，手套≧4支，防尘罩1个，胶水≧3支，托盘1个</w:t>
            </w:r>
            <w:r/>
          </w:p>
        </w:tc>
      </w:tr>
      <w:tr>
        <w:trPr/>
        <w:tc>
          <w:tcPr>
            <w:shd w:val="clear" w:color="auto" w:fill="auto"/>
            <w:tcW w:w="0" w:type="auto"/>
            <w:vAlign w:val="center"/>
            <w:textDirection w:val="lrTb"/>
            <w:noWrap/>
          </w:tcPr>
          <w:p>
            <w:pPr>
              <w:pStyle w:val="899"/>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平板凳</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功能:辅助哑铃训练，具有多种训练功能，可搭配其它举重训练器械或哑铃进行锻炼;                                                                             </w:t>
            </w:r>
            <w:r>
              <w:rPr>
                <w:rFonts w:hint="eastAsia" w:ascii="宋体" w:hAnsi="宋体" w:cs="宋体"/>
                <w:color w:val="000000"/>
                <w:sz w:val="20"/>
                <w:szCs w:val="20"/>
                <w:u w:val="none"/>
              </w:rPr>
              <w:t xml:space="preserve">                                                                                           1.主立管尺寸不小于:PT50mmX100mmX3mm2.产品采用一次成型坐垫，聚氨酯发泡工艺，保证坐垫永不变形，永不塌陷3.喷砂除锈工艺和静电喷涂工艺相辅相成，采用两次喷涂工艺；4.橡胶材质脚垫，有效防滑并防止磕碰地板；5.最大训练载荷：≥150kg；6.外形参考尺寸：1350mmX690mmX430mm（允许3%以内的偏离）</w:t>
            </w:r>
            <w:r/>
          </w:p>
        </w:tc>
      </w:tr>
      <w:tr>
        <w:trPr/>
        <w:tc>
          <w:tcPr>
            <w:shd w:val="clear" w:color="auto" w:fill="auto"/>
            <w:tcW w:w="0" w:type="auto"/>
            <w:vAlign w:val="center"/>
            <w:textDirection w:val="lrTb"/>
            <w:noWrap/>
          </w:tcPr>
          <w:p>
            <w:pPr>
              <w:pStyle w:val="899"/>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大飞鸟</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1.主立管尺寸不小于：60mm*120mm*3.品耐久度，标准配重不小于160kg，最大配重≥240kg2.采用直径为≥6.</w:t>
            </w:r>
            <w:r>
              <w:rPr>
                <w:rFonts w:hint="eastAsia" w:ascii="宋体" w:hAnsi="宋体" w:cs="宋体"/>
                <w:color w:val="000000"/>
                <w:sz w:val="20"/>
                <w:szCs w:val="20"/>
                <w:u w:val="none"/>
              </w:rPr>
              <w:t xml:space="preserve">3mm钢丝绳，钢丝绳内为“六股九线”的高强度配置，轻松实现十万次以上拉伸3.采用直径为≥106.2mm的铝合金滑轮，提高设备耐久度和运动顺畅度。4.手柄采用高强度TPV材料，永不破损，提高产品耐久度5.最大训练载荷：≥150kg6.外形参考尺寸：3762mm*2297mm*865mm （允许5%以内的偏离）                                                                                                      </w:t>
            </w:r>
            <w:r/>
          </w:p>
        </w:tc>
      </w:tr>
      <w:tr>
        <w:trPr/>
        <w:tc>
          <w:tcPr>
            <w:shd w:val="clear" w:color="auto" w:fill="auto"/>
            <w:tcW w:w="0" w:type="auto"/>
            <w:vAlign w:val="center"/>
            <w:textDirection w:val="lrTb"/>
            <w:noWrap/>
          </w:tcPr>
          <w:p>
            <w:pPr>
              <w:pStyle w:val="899"/>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橡胶地垫</w:t>
            </w:r>
            <w:r/>
          </w:p>
        </w:tc>
        <w:tc>
          <w:tcPr>
            <w:shd w:val="clear" w:color="auto" w:fill="auto"/>
            <w:tcW w:w="0" w:type="auto"/>
            <w:vAlign w:val="center"/>
            <w:textDirection w:val="lrTb"/>
            <w:noWrap w:val="false"/>
          </w:tcPr>
          <w:p>
            <w:pPr>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材质：高弹性EPDM/SBR聚合物 </w:t>
            </w:r>
            <w:r/>
          </w:p>
          <w:p>
            <w:pPr>
              <w:numPr>
                <w:ilvl w:val="0"/>
                <w:numId w:val="9"/>
              </w:numPr>
              <w:jc w:val="left"/>
              <w:widowControl/>
              <w:rPr>
                <w:rFonts w:hint="eastAsia" w:ascii="宋体" w:hAnsi="宋体" w:cs="宋体"/>
                <w:color w:val="auto"/>
                <w:sz w:val="20"/>
                <w:szCs w:val="20"/>
                <w:u w:val="none"/>
              </w:rPr>
            </w:pPr>
            <w:r>
              <w:rPr>
                <w:rFonts w:hint="eastAsia" w:ascii="宋体" w:hAnsi="宋体" w:cs="宋体"/>
                <w:color w:val="auto"/>
                <w:sz w:val="20"/>
                <w:szCs w:val="20"/>
                <w:u w:val="none"/>
              </w:rPr>
              <w:t xml:space="preserve">依据HG/T 3747.1-2011/XG1-2018《橡塑铺地材料 第1部分 橡胶地板》标准，通过尺寸偏差、抗弯曲性能及脆性温度检测，生产厂家提供橡胶地垫产品尺寸偏差中长度偏差±0.15%，宽度偏差±0.15%，厚度偏差±0.20mm；抗弯曲性能为无裂纹；脆性温度为-50℃±5℃。（须提供具有CMA和CNAS标识的检测报告加盖公章）。</w:t>
            </w:r>
            <w:r/>
          </w:p>
          <w:p>
            <w:pPr>
              <w:numPr>
                <w:ilvl w:val="0"/>
                <w:numId w:val="0"/>
              </w:numPr>
              <w:jc w:val="left"/>
              <w:widowControl/>
              <w:rPr>
                <w:rFonts w:ascii="宋体" w:hAnsi="宋体" w:cs="宋体"/>
                <w:color w:val="000000"/>
                <w:sz w:val="20"/>
                <w:szCs w:val="20"/>
                <w:u w:val="none"/>
              </w:rPr>
            </w:pPr>
            <w:r>
              <w:rPr>
                <w:rFonts w:hint="eastAsia" w:ascii="宋体" w:hAnsi="宋体" w:cs="宋体"/>
                <w:color w:val="auto"/>
                <w:sz w:val="20"/>
                <w:szCs w:val="20"/>
                <w:u w:val="none"/>
                <w:lang w:val="en-US" w:eastAsia="zh-CN"/>
              </w:rPr>
              <w:t xml:space="preserve">2</w:t>
            </w:r>
            <w:r>
              <w:rPr>
                <w:rFonts w:hint="eastAsia" w:ascii="宋体" w:hAnsi="宋体" w:cs="宋体"/>
                <w:color w:val="auto"/>
                <w:sz w:val="20"/>
                <w:szCs w:val="20"/>
                <w:u w:val="none"/>
              </w:rPr>
              <w:t xml:space="preserve">、为确保耐用性，环保EPDM橡胶颗粒生产厂家提供依据GB/T 528-2009、GB/T1682-2014在低温（-50℃）脆性下无破坏，拉伸强度（速度：500mm/min）≥1.5MPa，断裂伸长率（速度：500mm/min）≥500%，三项合格的检测报告。（须提供具有CMA和CNAS标识的检测报告加盖公章）</w:t>
            </w:r>
            <w:r/>
          </w:p>
        </w:tc>
      </w:tr>
      <w:tr>
        <w:trPr/>
        <w:tc>
          <w:tcPr>
            <w:shd w:val="clear" w:color="auto" w:fill="auto"/>
            <w:tcW w:w="0" w:type="auto"/>
            <w:vAlign w:val="center"/>
            <w:textDirection w:val="lrTb"/>
            <w:noWrap/>
          </w:tcPr>
          <w:p>
            <w:pPr>
              <w:pStyle w:val="899"/>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跑步机</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屏幕:≥23.8寸LED显示屏类别：S类精度等级：A级外形参考尺寸：2270x955x1610mm（长*宽*高）（允许5%以内的偏离）输入功率：≥3.3kw电动机：交流变频异步电机  功率：≥2.2kw速度范围：0.5～25km/h坡度范围：-5～15%跑步表面参考尺寸：1580（L）*600（W）mm（允许5%以内的偏离）跑板厚度：≥25.4mm跑带厚度：≥4.0mm折叠机构：无立柱外形规格不小于：110x40x2.5mm底盘边管规格不小于：110x40x2.5mm矩形管最大人体质量：≥210kg</w:t>
            </w:r>
            <w:r/>
          </w:p>
        </w:tc>
      </w:tr>
      <w:tr>
        <w:trPr/>
        <w:tc>
          <w:tcPr>
            <w:shd w:val="clear" w:color="auto" w:fill="auto"/>
            <w:tcW w:w="0" w:type="auto"/>
            <w:vAlign w:val="center"/>
            <w:textDirection w:val="lrTb"/>
            <w:noWrap/>
          </w:tcPr>
          <w:p>
            <w:pPr>
              <w:pStyle w:val="899"/>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调节哑铃凳</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产品参数：1.主立管尺寸不小于:PT50mmX100mmX3mm2.产品采用一次成型坐垫，聚氨酯发泡工艺，保证坐垫永不变形，永不塌陷3.喷砂除锈工艺和静电喷涂工艺相辅相成，采用两次喷涂工艺；4.橡胶材质脚垫，有效防滑并防止磕碰地板；5.最大训练载荷：≥150kg；6.外形参考尺寸：1433mmX598mmX436mm（允许3%以内的偏离）</w:t>
            </w:r>
            <w:r/>
          </w:p>
        </w:tc>
      </w:tr>
      <w:tr>
        <w:trPr/>
        <w:tc>
          <w:tcPr>
            <w:shd w:val="clear" w:color="auto" w:fill="auto"/>
            <w:tcW w:w="0" w:type="auto"/>
            <w:vAlign w:val="center"/>
            <w:textDirection w:val="lrTb"/>
            <w:noWrap/>
          </w:tcPr>
          <w:p>
            <w:pPr>
              <w:pStyle w:val="899"/>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哑铃套装</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1.外部包胶处理，环保材质。2.握杆采用镀鉻处理防滑，不生锈。规格：2.5kg-25kg，间隔2.5kg。  </w:t>
            </w:r>
            <w:r/>
          </w:p>
        </w:tc>
      </w:tr>
      <w:tr>
        <w:trPr/>
        <w:tc>
          <w:tcPr>
            <w:shd w:val="clear" w:color="auto" w:fill="auto"/>
            <w:tcW w:w="0" w:type="auto"/>
            <w:vAlign w:val="center"/>
            <w:textDirection w:val="lrTb"/>
            <w:noWrap/>
          </w:tcPr>
          <w:p>
            <w:pPr>
              <w:pStyle w:val="899"/>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指纹存包柜</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参考尺寸：2550* 460*1800mm（允许5%以内的偏离） 36门指纹存包柜，便捷新存储，采用加厚冷轧钢板，厚度≧0.7mm，表面静电喷塑，绿色环保；</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六、羽毛球场</w:t>
            </w:r>
            <w:r/>
          </w:p>
        </w:tc>
      </w:tr>
      <w:tr>
        <w:trPr/>
        <w:tc>
          <w:tcPr>
            <w:shd w:val="clear" w:color="auto" w:fill="auto"/>
            <w:tcW w:w="0" w:type="auto"/>
            <w:vAlign w:val="center"/>
            <w:textDirection w:val="lrTb"/>
            <w:noWrap/>
          </w:tcPr>
          <w:p>
            <w:pPr>
              <w:pStyle w:val="899"/>
              <w:numPr>
                <w:ilvl w:val="0"/>
                <w:numId w:val="10"/>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羽毛球</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国产，球裙为天然羽毛，球头为台纤双拼，一桶12只。</w:t>
            </w:r>
            <w:r/>
          </w:p>
        </w:tc>
      </w:tr>
      <w:tr>
        <w:trPr/>
        <w:tc>
          <w:tcPr>
            <w:shd w:val="clear" w:color="auto" w:fill="auto"/>
            <w:tcW w:w="0" w:type="auto"/>
            <w:vAlign w:val="center"/>
            <w:textDirection w:val="lrTb"/>
            <w:noWrap/>
          </w:tcPr>
          <w:p>
            <w:pPr>
              <w:pStyle w:val="899"/>
              <w:numPr>
                <w:ilvl w:val="0"/>
                <w:numId w:val="10"/>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移动式羽毛球柱</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1.移动式羽毛球柱由移动式底座.立柱.锁紧装置组成。2.两立柱管采用不小于Φ48×3mm钢管制作，其中一根立柱置有一系绳柱，另一</w:t>
            </w:r>
            <w:r>
              <w:rPr>
                <w:rFonts w:hint="eastAsia" w:ascii="宋体" w:hAnsi="宋体" w:cs="宋体"/>
                <w:color w:val="000000"/>
                <w:sz w:val="20"/>
                <w:szCs w:val="20"/>
                <w:u w:val="none"/>
              </w:rPr>
              <w:t xml:space="preserve">立柱置有棘轮.紧线机构装置，通过手柄转动，实现球网的中央高度要求：≥1550mm。3.羽毛球底座采用铸铁底座，增强底座的稳定性。4.羽毛球柱底座装有PU滚轮，移动方便且不伤地板。5.所有钢制件经除油.除锈.磷化等处理后再进行喷涂作业，涂层厚度70-140um,铅笔硬度≧3H+,试品经盐雾实验,涂膜无变化,划格处单面腐蚀&lt;2mm,产品具有耐酸碱.耐湿热.抗老化.外观美观，色泽光亮，整体外观光滑，漆层表面无皱纹，无漏喷.脱漆等缺陷等优点,能适合潮湿和酸雨环境,且产品涂料配方不含有有毒元素,避免损害使用者的健康.</w:t>
            </w:r>
            <w:r/>
          </w:p>
        </w:tc>
      </w:tr>
      <w:tr>
        <w:trPr/>
        <w:tc>
          <w:tcPr>
            <w:shd w:val="clear" w:color="auto" w:fill="auto"/>
            <w:tcW w:w="0" w:type="auto"/>
            <w:vAlign w:val="center"/>
            <w:textDirection w:val="lrTb"/>
            <w:noWrap/>
          </w:tcPr>
          <w:p>
            <w:pPr>
              <w:pStyle w:val="899"/>
              <w:numPr>
                <w:ilvl w:val="0"/>
                <w:numId w:val="10"/>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羽毛球网</w:t>
            </w:r>
            <w:r/>
          </w:p>
        </w:tc>
        <w:tc>
          <w:tcPr>
            <w:shd w:val="clear" w:color="auto" w:fill="auto"/>
            <w:tcW w:w="0" w:type="auto"/>
            <w:vAlign w:val="center"/>
            <w:textDirection w:val="lrTb"/>
            <w:noWrap w:val="false"/>
          </w:tcPr>
          <w:p>
            <w:pPr>
              <w:jc w:val="left"/>
              <w:widowControl/>
              <w:rPr>
                <w:rFonts w:hint="eastAsia" w:ascii="宋体" w:hAnsi="宋体" w:eastAsia="宋体" w:cs="宋体"/>
                <w:color w:val="000000"/>
                <w:sz w:val="20"/>
                <w:szCs w:val="20"/>
                <w:u w:val="none"/>
                <w:lang w:eastAsia="zh-CN"/>
              </w:rPr>
            </w:pPr>
            <w:r>
              <w:rPr>
                <w:rFonts w:hint="eastAsia" w:ascii="宋体" w:hAnsi="宋体" w:cs="宋体"/>
                <w:color w:val="000000"/>
                <w:sz w:val="20"/>
                <w:szCs w:val="20"/>
                <w:u w:val="none"/>
              </w:rPr>
              <w:t xml:space="preserve">国产，配合移动式羽毛球柱使用</w:t>
            </w:r>
            <w:r>
              <w:rPr>
                <w:rFonts w:hint="eastAsia" w:ascii="宋体" w:hAnsi="宋体" w:cs="宋体"/>
                <w:color w:val="000000"/>
                <w:sz w:val="20"/>
                <w:szCs w:val="20"/>
                <w:u w:val="none"/>
                <w:lang w:eastAsia="zh-CN"/>
              </w:rPr>
              <w:t xml:space="preserve">，网长≥6.1米、网孔大小≤20mm，采用聚乙烯编织材质。</w:t>
            </w:r>
            <w:r/>
          </w:p>
        </w:tc>
      </w:tr>
      <w:tr>
        <w:trPr/>
        <w:tc>
          <w:tcPr>
            <w:shd w:val="clear" w:color="auto" w:fill="auto"/>
            <w:tcW w:w="0" w:type="auto"/>
            <w:vAlign w:val="center"/>
            <w:textDirection w:val="lrTb"/>
            <w:noWrap/>
          </w:tcPr>
          <w:p>
            <w:pPr>
              <w:pStyle w:val="899"/>
              <w:numPr>
                <w:ilvl w:val="0"/>
                <w:numId w:val="10"/>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羽毛球裁判椅</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1.椅面：参考尺寸：W460*D566*H456mm（允许5%以内的偏离）。材质：外框采用全新PA+GF整体注塑成型。椅背和椅座采用</w:t>
            </w:r>
            <w:r>
              <w:rPr>
                <w:rFonts w:hint="eastAsia" w:ascii="宋体" w:hAnsi="宋体" w:cs="宋体"/>
                <w:color w:val="000000"/>
                <w:sz w:val="20"/>
                <w:szCs w:val="20"/>
                <w:u w:val="none"/>
              </w:rPr>
              <w:t xml:space="preserve">全新PP+GF整体注塑成型。功能：①椅背、椅座有内凹式曲面设计，椅背有≥300个通孔，保证通风、通气。椅背顶部有长条形把手设计，方便拖动、搬起。椅座前端瀑布形加流线型下垂设计。②椅面由外框、椅背和椅座组成，三个配件均有不同颜色可选，进行不同组合搭配。2.椅架： 尺寸：前脚管和后弯管尺寸为φ25mm(±0.5mm），壁厚1.5mm(±0.1mm）圆管。材质：采用白皮管压弯满焊焊接；钢架表面经静电粉末喷涂，附着力强。3.脚垫： PP+GF 耐冲击塑料注塑成型。脚垫采用圆弧形设计，方便多角度着地，防滑防刮伤地面。</w:t>
            </w:r>
            <w:r/>
          </w:p>
        </w:tc>
      </w:tr>
      <w:tr>
        <w:trPr/>
        <w:tc>
          <w:tcPr>
            <w:shd w:val="clear" w:color="auto" w:fill="auto"/>
            <w:tcW w:w="0" w:type="auto"/>
            <w:vAlign w:val="center"/>
            <w:textDirection w:val="lrTb"/>
            <w:noWrap/>
          </w:tcPr>
          <w:p>
            <w:pPr>
              <w:pStyle w:val="899"/>
              <w:numPr>
                <w:ilvl w:val="0"/>
                <w:numId w:val="10"/>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羽毛球赛记分牌</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塑料，塑膜硬纸牌。参考尺寸：388*190*200mm（允许2%以内的偏离） 单排数值：0-31</w:t>
            </w:r>
            <w:r/>
          </w:p>
        </w:tc>
      </w:tr>
      <w:tr>
        <w:trPr/>
        <w:tc>
          <w:tcPr>
            <w:shd w:val="clear" w:color="auto" w:fill="auto"/>
            <w:tcW w:w="0" w:type="auto"/>
            <w:vAlign w:val="center"/>
            <w:textDirection w:val="lrTb"/>
            <w:noWrap/>
          </w:tcPr>
          <w:p>
            <w:pPr>
              <w:pStyle w:val="899"/>
              <w:numPr>
                <w:ilvl w:val="0"/>
                <w:numId w:val="10"/>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排球网</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1、参考规格：长1000mm，宽50mm（允许3%以内的偏离）。2、材质：白色PVC布。3、数量：2条/副。</w:t>
            </w:r>
            <w:r/>
          </w:p>
        </w:tc>
      </w:tr>
      <w:tr>
        <w:trPr/>
        <w:tc>
          <w:tcPr>
            <w:shd w:val="clear" w:color="auto" w:fill="auto"/>
            <w:tcW w:w="0" w:type="auto"/>
            <w:vAlign w:val="center"/>
            <w:textDirection w:val="lrTb"/>
            <w:noWrap/>
          </w:tcPr>
          <w:p>
            <w:pPr>
              <w:pStyle w:val="899"/>
              <w:numPr>
                <w:ilvl w:val="0"/>
                <w:numId w:val="10"/>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羽毛球拍</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碳复合超轻材质，防滑减震手柄，低风阻锥盖，压膜二次成型，一体化不易折断。</w:t>
            </w:r>
            <w:r/>
          </w:p>
        </w:tc>
      </w:tr>
      <w:tr>
        <w:trPr/>
        <w:tc>
          <w:tcPr>
            <w:shd w:val="clear" w:color="auto" w:fill="auto"/>
            <w:tcW w:w="0" w:type="auto"/>
            <w:vAlign w:val="center"/>
            <w:textDirection w:val="lrTb"/>
            <w:noWrap/>
          </w:tcPr>
          <w:p>
            <w:pPr>
              <w:pStyle w:val="899"/>
              <w:numPr>
                <w:ilvl w:val="0"/>
                <w:numId w:val="10"/>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简易配重拆卸式排球柱</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1.移动排球柱由内.外立柱，紧线机构和底座组成。2.排球柱外立柱选用不小于φ89×4.0mm的无缝钢管，一立柱内侧置有网钩，绳系在网钩上，另一立柱上内侧置</w:t>
            </w:r>
            <w:r>
              <w:rPr>
                <w:rFonts w:hint="eastAsia" w:ascii="宋体" w:hAnsi="宋体" w:cs="宋体"/>
                <w:color w:val="000000"/>
                <w:sz w:val="20"/>
                <w:szCs w:val="20"/>
                <w:u w:val="none"/>
              </w:rPr>
              <w:t xml:space="preserve">有紧线锁紧机构；排球柱内立柱选用不小于φ76×3.0mm异形钢管，表面采用静电处理，美观大方。排球柱升降机构采用蜗轮蜗杆传动原理，具有结构紧凑，承载能力大，工作平稳，可以自锁（起到安全保护作用）等优点。通过调节锁紧手柄，可调节钢丝绳的松紧，确保钢丝绳牢固拉紧，并实现网的高度要求：2000-2430㎜。3.排球柱底座配重箱均采用钢板折弯后拼焊而成，单只底座配重箱水泥配重≥220kg，上罩装饰盖，造型美观。底座装有PU滚轮，移动方便且不损伤地板。4.喷涂工件的表面处理分二个阶段，前处理阶段使工件获得质量优良的介</w:t>
            </w:r>
            <w:r>
              <w:rPr>
                <w:rFonts w:hint="eastAsia" w:ascii="宋体" w:hAnsi="宋体" w:cs="宋体"/>
                <w:color w:val="000000"/>
                <w:sz w:val="20"/>
                <w:szCs w:val="20"/>
                <w:u w:val="none"/>
              </w:rPr>
              <w:t xml:space="preserve">质层，增加防锈涂膜与金属基体的结合力，是提高产品表面处理能力的必备基础措施。表面处理阶段是将粉末通过高压静电作用均匀涂敷在被涂物体上的过程。当涂层达到一定厚度后，进入烘炉加热，涂料熔融固化，形成厚度均匀.质地牢固的涂层。器材均在全自动喷涂流水线上作业，经抛丸--脱脂--水洗--无磷转化--水洗--烘干--静电粉末--固化等过程。产品涂层厚度70-80um，铅笔硬度达3H+。产品具有耐酸碱.耐湿热.抗老化.外观美观等优点，能适合潮湿和酸雨环境，且前处理过程以及产品涂料配方均不含有毒元素，避免损害使用者的健康。</w:t>
            </w:r>
            <w:r/>
          </w:p>
        </w:tc>
      </w:tr>
      <w:tr>
        <w:trPr/>
        <w:tc>
          <w:tcPr>
            <w:shd w:val="clear" w:color="auto" w:fill="auto"/>
            <w:tcW w:w="0" w:type="auto"/>
            <w:vAlign w:val="center"/>
            <w:textDirection w:val="lrTb"/>
            <w:noWrap/>
          </w:tcPr>
          <w:p>
            <w:pPr>
              <w:pStyle w:val="899"/>
              <w:numPr>
                <w:ilvl w:val="0"/>
                <w:numId w:val="10"/>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ff"/>
                <w:sz w:val="20"/>
                <w:szCs w:val="20"/>
                <w:u w:val="none"/>
              </w:rPr>
            </w:pPr>
            <w:r>
              <w:rPr>
                <w:rFonts w:hint="eastAsia" w:ascii="宋体" w:hAnsi="宋体" w:cs="宋体"/>
                <w:color w:val="auto"/>
                <w:sz w:val="20"/>
                <w:szCs w:val="20"/>
                <w:u w:val="none"/>
              </w:rPr>
              <w:t xml:space="preserve">移动式羽毛球地垫</w:t>
            </w:r>
            <w:r/>
          </w:p>
        </w:tc>
        <w:tc>
          <w:tcPr>
            <w:shd w:val="clear" w:color="auto" w:fill="auto"/>
            <w:tcW w:w="0" w:type="auto"/>
            <w:vAlign w:val="center"/>
            <w:textDirection w:val="lrTb"/>
            <w:noWrap w:val="false"/>
          </w:tcPr>
          <w:p>
            <w:pPr>
              <w:jc w:val="left"/>
              <w:widowControl/>
              <w:rPr>
                <w:rFonts w:hint="eastAsia" w:ascii="宋体" w:hAnsi="宋体" w:cs="宋体"/>
                <w:color w:val="auto"/>
                <w:sz w:val="20"/>
                <w:szCs w:val="20"/>
                <w:u w:val="none"/>
              </w:rPr>
            </w:pPr>
            <w:r>
              <w:rPr>
                <w:rFonts w:hint="eastAsia" w:ascii="宋体" w:hAnsi="宋体" w:cs="宋体"/>
                <w:color w:val="auto"/>
                <w:sz w:val="20"/>
                <w:szCs w:val="20"/>
                <w:u w:val="none"/>
              </w:rPr>
              <w:t xml:space="preserve">产品要求：  PVC运动地板，100%原生料生产加工而成，无毒.无味.绿色环保，耐磨防滑，双色双倍率无钙发泡缓冲层，密实稳定加强层，高强度玻纤网格布稳定层，背板为密闭式防移动背板。外观质量颜色：色泽均匀，无明显色差，无裂痕。</w:t>
            </w:r>
            <w:r/>
          </w:p>
          <w:p>
            <w:pPr>
              <w:numPr>
                <w:ilvl w:val="0"/>
                <w:numId w:val="11"/>
              </w:numPr>
              <w:jc w:val="left"/>
              <w:widowControl/>
              <w:rPr>
                <w:rFonts w:hint="eastAsia" w:ascii="宋体" w:hAnsi="宋体" w:cs="宋体"/>
                <w:color w:val="auto"/>
                <w:sz w:val="20"/>
                <w:szCs w:val="20"/>
                <w:u w:val="none"/>
              </w:rPr>
            </w:pPr>
            <w:r>
              <w:rPr>
                <w:rFonts w:hint="eastAsia" w:ascii="宋体" w:hAnsi="宋体" w:cs="宋体"/>
                <w:color w:val="auto"/>
                <w:sz w:val="20"/>
                <w:szCs w:val="20"/>
                <w:u w:val="none"/>
              </w:rPr>
              <w:t xml:space="preserve">运动地板规格要求：总厚度：5.1±0.1mm2.冲击吸收（23±2℃）:20%-50%3.垂直变形：0.6-3.0mm4.抗滑值（BPN,20℃）：80-110（干测）</w:t>
            </w:r>
            <w:r/>
          </w:p>
          <w:p>
            <w:pPr>
              <w:numPr>
                <w:ilvl w:val="0"/>
                <w:numId w:val="11"/>
              </w:numPr>
              <w:jc w:val="left"/>
              <w:widowControl/>
              <w:rPr>
                <w:rFonts w:ascii="宋体" w:hAnsi="宋体" w:cs="宋体"/>
                <w:color w:val="0000ff"/>
                <w:sz w:val="20"/>
                <w:szCs w:val="20"/>
                <w:u w:val="none"/>
              </w:rPr>
            </w:pPr>
            <w:r>
              <w:rPr>
                <w:rFonts w:hint="eastAsia" w:ascii="宋体" w:hAnsi="宋体" w:cs="宋体"/>
                <w:color w:val="auto"/>
                <w:sz w:val="20"/>
                <w:szCs w:val="20"/>
                <w:u w:val="none"/>
              </w:rPr>
              <w:t xml:space="preserve">耐污染性0级（其中应包括碳酸饮料.牛奶.咖啡等不少于10种常见的耐污染物）</w:t>
            </w:r>
            <w:r>
              <w:rPr>
                <w:rFonts w:hint="eastAsia" w:ascii="宋体" w:hAnsi="宋体" w:cs="宋体"/>
                <w:color w:val="auto"/>
                <w:sz w:val="20"/>
                <w:szCs w:val="20"/>
                <w:u w:val="none"/>
                <w:lang w:val="en-US" w:eastAsia="zh-CN"/>
              </w:rPr>
              <w:t xml:space="preserve">3.</w:t>
            </w:r>
            <w:r>
              <w:rPr>
                <w:rFonts w:hint="eastAsia" w:ascii="宋体" w:hAnsi="宋体" w:cs="宋体"/>
                <w:color w:val="auto"/>
                <w:sz w:val="20"/>
                <w:szCs w:val="20"/>
                <w:u w:val="none"/>
              </w:rPr>
              <w:t xml:space="preserve">甲醛：≤0.4mg/(m².h)</w:t>
            </w:r>
            <w:r/>
          </w:p>
          <w:p>
            <w:pPr>
              <w:numPr>
                <w:ilvl w:val="0"/>
                <w:numId w:val="0"/>
              </w:numPr>
              <w:jc w:val="left"/>
              <w:widowControl/>
              <w:rPr>
                <w:rFonts w:hint="eastAsia" w:ascii="宋体" w:hAnsi="宋体" w:cs="宋体"/>
                <w:color w:val="auto"/>
                <w:sz w:val="20"/>
                <w:szCs w:val="20"/>
                <w:u w:val="none"/>
              </w:rPr>
            </w:pPr>
            <w:r>
              <w:rPr>
                <w:rFonts w:hint="eastAsia" w:ascii="宋体" w:hAnsi="宋体" w:cs="宋体"/>
                <w:color w:val="auto"/>
                <w:sz w:val="20"/>
                <w:szCs w:val="20"/>
                <w:u w:val="none"/>
                <w:lang w:val="en-US" w:eastAsia="zh-CN"/>
              </w:rPr>
              <w:t xml:space="preserve">4.</w:t>
            </w:r>
            <w:r>
              <w:rPr>
                <w:rFonts w:hint="eastAsia" w:ascii="宋体" w:hAnsi="宋体" w:cs="宋体"/>
                <w:color w:val="auto"/>
                <w:sz w:val="20"/>
                <w:szCs w:val="20"/>
                <w:u w:val="none"/>
              </w:rPr>
              <w:t xml:space="preserve">可溶性重金属铅含量≤20mg/㎡；可溶性重金属镉含量≤20mg/㎡.二氯二苯甲烷（MOCA)≤1.5g /kg.18种多环芳烃总和≤50mg /kg10、硬度（邵A）：≥57（度）。</w:t>
            </w:r>
            <w:r/>
          </w:p>
          <w:p>
            <w:pPr>
              <w:numPr>
                <w:ilvl w:val="0"/>
                <w:numId w:val="0"/>
              </w:numPr>
              <w:jc w:val="left"/>
              <w:widowControl/>
              <w:rPr>
                <w:rFonts w:ascii="宋体" w:hAnsi="宋体" w:cs="宋体"/>
                <w:color w:val="0000ff"/>
                <w:sz w:val="20"/>
                <w:szCs w:val="20"/>
                <w:u w:val="none"/>
              </w:rPr>
            </w:pPr>
            <w:r>
              <w:rPr>
                <w:rFonts w:hint="eastAsia" w:ascii="宋体" w:hAnsi="宋体" w:cs="宋体"/>
                <w:color w:val="auto"/>
                <w:sz w:val="20"/>
                <w:szCs w:val="20"/>
                <w:u w:val="none"/>
                <w:lang w:val="en-US" w:eastAsia="zh-CN"/>
              </w:rPr>
              <w:t xml:space="preserve">5.</w:t>
            </w:r>
            <w:r>
              <w:rPr>
                <w:rFonts w:hint="eastAsia" w:ascii="宋体" w:hAnsi="宋体" w:cs="宋体"/>
                <w:color w:val="auto"/>
                <w:sz w:val="20"/>
                <w:szCs w:val="20"/>
                <w:u w:val="none"/>
              </w:rPr>
              <w:t xml:space="preserve">防火燃烧性能不低于B1级.</w:t>
            </w:r>
            <w:r/>
          </w:p>
          <w:p>
            <w:pPr>
              <w:numPr>
                <w:ilvl w:val="0"/>
                <w:numId w:val="0"/>
              </w:numPr>
              <w:jc w:val="left"/>
              <w:widowControl/>
              <w:rPr>
                <w:rFonts w:ascii="宋体" w:hAnsi="宋体" w:cs="宋体"/>
                <w:color w:val="0000ff"/>
                <w:sz w:val="20"/>
                <w:szCs w:val="20"/>
                <w:u w:val="none"/>
              </w:rPr>
            </w:pPr>
            <w:r>
              <w:rPr>
                <w:rFonts w:hint="eastAsia" w:ascii="宋体" w:hAnsi="宋体" w:cs="宋体"/>
                <w:color w:val="auto"/>
                <w:sz w:val="20"/>
                <w:szCs w:val="20"/>
                <w:u w:val="none"/>
                <w:lang w:val="en-US" w:eastAsia="zh-CN"/>
              </w:rPr>
              <w:t xml:space="preserve">6.</w:t>
            </w:r>
            <w:r>
              <w:rPr>
                <w:rFonts w:hint="eastAsia" w:ascii="宋体" w:hAnsi="宋体" w:cs="宋体"/>
                <w:color w:val="auto"/>
                <w:sz w:val="20"/>
                <w:szCs w:val="20"/>
                <w:u w:val="none"/>
              </w:rPr>
              <w:t xml:space="preserve">氯乙烯含量：未检出.</w:t>
            </w:r>
            <w:r/>
          </w:p>
          <w:p>
            <w:pPr>
              <w:numPr>
                <w:ilvl w:val="0"/>
                <w:numId w:val="0"/>
              </w:numPr>
              <w:jc w:val="left"/>
              <w:widowControl/>
              <w:rPr>
                <w:rFonts w:ascii="宋体" w:hAnsi="宋体" w:cs="宋体"/>
                <w:color w:val="0000ff"/>
                <w:sz w:val="20"/>
                <w:szCs w:val="20"/>
                <w:u w:val="none"/>
              </w:rPr>
            </w:pPr>
            <w:r>
              <w:rPr>
                <w:rFonts w:hint="eastAsia" w:ascii="宋体" w:hAnsi="宋体" w:cs="宋体"/>
                <w:color w:val="auto"/>
                <w:sz w:val="20"/>
                <w:szCs w:val="20"/>
                <w:u w:val="none"/>
                <w:lang w:val="en-US" w:eastAsia="zh-CN"/>
              </w:rPr>
              <w:t xml:space="preserve">7.</w:t>
            </w:r>
            <w:r>
              <w:rPr>
                <w:rFonts w:hint="eastAsia" w:ascii="宋体" w:hAnsi="宋体" w:cs="宋体"/>
                <w:color w:val="auto"/>
                <w:sz w:val="20"/>
                <w:szCs w:val="20"/>
                <w:u w:val="none"/>
              </w:rPr>
              <w:t xml:space="preserve">焊接强度：平均焊接强度，最小焊接强度须符合相关技术标准要求。</w:t>
            </w:r>
            <w:r/>
          </w:p>
        </w:tc>
      </w:tr>
      <w:tr>
        <w:trPr/>
        <w:tc>
          <w:tcPr>
            <w:shd w:val="clear" w:color="auto" w:fill="auto"/>
            <w:tcW w:w="0" w:type="auto"/>
            <w:vAlign w:val="center"/>
            <w:textDirection w:val="lrTb"/>
            <w:noWrap/>
          </w:tcPr>
          <w:p>
            <w:pPr>
              <w:pStyle w:val="899"/>
              <w:numPr>
                <w:ilvl w:val="0"/>
                <w:numId w:val="10"/>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指纹存包柜</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参考尺寸：2550* 460*1800mm（允许5%以内的偏离） 36门指纹存包柜，便捷新存储，采用加厚冷轧钢板，厚度≧0.7mm，表面静电喷塑，绿色环保；</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七、室内篮球场</w:t>
            </w:r>
            <w:r/>
          </w:p>
        </w:tc>
      </w:tr>
      <w:tr>
        <w:trPr/>
        <w:tc>
          <w:tcPr>
            <w:shd w:val="clear" w:color="auto" w:fill="auto"/>
            <w:tcW w:w="0" w:type="auto"/>
            <w:vAlign w:val="center"/>
            <w:textDirection w:val="lrTb"/>
            <w:noWrap/>
          </w:tcPr>
          <w:p>
            <w:pPr>
              <w:pStyle w:val="899"/>
              <w:numPr>
                <w:ilvl w:val="0"/>
                <w:numId w:val="12"/>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比分显示屏</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不小于55寸液晶屏，国产</w:t>
            </w:r>
            <w:r/>
          </w:p>
        </w:tc>
      </w:tr>
      <w:tr>
        <w:trPr/>
        <w:tc>
          <w:tcPr>
            <w:shd w:val="clear" w:color="auto" w:fill="auto"/>
            <w:tcW w:w="0" w:type="auto"/>
            <w:vAlign w:val="center"/>
            <w:textDirection w:val="lrTb"/>
            <w:noWrap/>
          </w:tcPr>
          <w:p>
            <w:pPr>
              <w:pStyle w:val="899"/>
              <w:numPr>
                <w:ilvl w:val="0"/>
                <w:numId w:val="12"/>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液晶显示屏移动支架</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高：0.9米（允许3%以内的偏离），一体成型底座，冷轧挂板，超大置物托盘，静电喷涂工艺，静音万向四轮。</w:t>
            </w:r>
            <w:r/>
          </w:p>
        </w:tc>
      </w:tr>
      <w:tr>
        <w:trPr/>
        <w:tc>
          <w:tcPr>
            <w:shd w:val="clear" w:color="auto" w:fill="auto"/>
            <w:tcW w:w="0" w:type="auto"/>
            <w:vAlign w:val="center"/>
            <w:textDirection w:val="lrTb"/>
            <w:noWrap/>
          </w:tcPr>
          <w:p>
            <w:pPr>
              <w:pStyle w:val="899"/>
              <w:numPr>
                <w:ilvl w:val="0"/>
                <w:numId w:val="12"/>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电动液压篮球架一对</w:t>
            </w:r>
            <w:r/>
          </w:p>
        </w:tc>
        <w:tc>
          <w:tcPr>
            <w:shd w:val="clear" w:color="auto" w:fill="auto"/>
            <w:tcW w:w="0" w:type="auto"/>
            <w:vAlign w:val="center"/>
            <w:textDirection w:val="lrTb"/>
            <w:noWrap w:val="false"/>
          </w:tcPr>
          <w:p>
            <w:pPr>
              <w:numPr>
                <w:ilvl w:val="0"/>
                <w:numId w:val="13"/>
              </w:numPr>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产品技术规格:篮架伸臂为不小于3.35米,篮圈上沿离地面高不低于3.05米,球架底座参考尺寸：2.5米×1.3米（允许4%以内的偏离）。</w:t>
            </w:r>
            <w:r/>
          </w:p>
          <w:p>
            <w:pPr>
              <w:numPr>
                <w:ilvl w:val="0"/>
                <w:numId w:val="13"/>
              </w:numPr>
              <w:ind w:left="0" w:firstLine="0"/>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产品用材:篮球架箱体选用≥6mm钢板折弯后拼焊而成，部件内分布有多个加强板，有效的保证整体的稳定性；立臂采用不小于150mm×75mm×3.0mm矩形管与不小于120mm×80mm×3.0mm矩形管拼焊后做为支撑框架；伸臂部件为不小于140×80×3.0mm矩形管与不小于70×50×3.0mm矩形管拼接而成,篮球架后拉部件采用不小于70×70×3.0mm矩形管拼焊；篮球架上拉杆采用圆管在弯管机上一次成型，避免了电焊及焊渣易引起生锈的隐患，合理的结构设计与独特的外观造型和谐统一。</w:t>
            </w:r>
            <w:r/>
          </w:p>
          <w:p>
            <w:pPr>
              <w:numPr>
                <w:ilvl w:val="0"/>
                <w:numId w:val="13"/>
              </w:numPr>
              <w:ind w:left="0" w:firstLine="0"/>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产品结构原理：电动液压篮球架采用液压控制系统，设有篮架升降系统、走轮伸缩机构。篮球架使用时，电机接通220V、50HZ单相电源即可启动，带动油泵，经微电脑控制系统进行“功能”转换，油缸随即产生伸缩运动，从而使篮架立柱升降、底座走轮起落，这几套动作均可通过按键控制或遥控控制。</w:t>
            </w:r>
            <w:r/>
          </w:p>
          <w:p>
            <w:pPr>
              <w:numPr>
                <w:ilvl w:val="0"/>
                <w:numId w:val="13"/>
              </w:numPr>
              <w:ind w:left="0" w:firstLine="0"/>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篮板：篮板配用国际通用的高强度安全玻璃篮板（≥12mm厚钢化玻璃），规格：1800×1050（mm），具有透明度高、耐侯性好、抗老化、耐腐蚀、不易模糊等特点，并在篮板下沿侧面覆盖有保护圈，保护圈前后表面高度、厚度均≥20mm，底面厚度≥50mm，符合FIBA规则，能有效保护运动员扣篮时不受伤害。篮板弹性500N/min，中心挠度≤6mm，取消外力1min后篮板恢复原状。</w:t>
            </w:r>
            <w:r/>
          </w:p>
          <w:p>
            <w:pPr>
              <w:numPr>
                <w:ilvl w:val="0"/>
                <w:numId w:val="13"/>
              </w:numPr>
              <w:ind w:left="0" w:firstLine="0"/>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篮圈：篮圈采用φ20实心圆钢制作，篮圈抗弯性能好，在篮圈最远点的圈顶上施加静载荷105kg时，篮圈向下转动角度不小于10度也不大于30度，能有效解决投篮时篮圈的稳定性和运动员扣篮时的安全性问题。</w:t>
            </w:r>
            <w:r/>
          </w:p>
          <w:p>
            <w:pPr>
              <w:numPr>
                <w:ilvl w:val="0"/>
                <w:numId w:val="13"/>
              </w:numPr>
              <w:ind w:left="0" w:firstLine="0"/>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防护措施：篮架前立柱、底座、伸臂配备有专用护套，能有效保护运动员免受撞击，篮架底座后部装有特制水泥配重，能保证篮球架在使用时不倾翻。前立柱与伸臂间装有专用保险机构，能有效保证使用时的安全性及美观性。</w:t>
            </w:r>
            <w:r/>
          </w:p>
          <w:p>
            <w:pPr>
              <w:numPr>
                <w:ilvl w:val="0"/>
                <w:numId w:val="0"/>
              </w:numPr>
              <w:jc w:val="left"/>
              <w:widowControl/>
              <w:rPr>
                <w:rFonts w:hint="eastAsia" w:ascii="宋体" w:hAnsi="宋体" w:cs="宋体"/>
                <w:color w:val="auto"/>
                <w:sz w:val="20"/>
                <w:szCs w:val="20"/>
                <w:u w:val="none"/>
              </w:rPr>
            </w:pPr>
            <w:r>
              <w:rPr>
                <w:rFonts w:hint="eastAsia" w:ascii="宋体" w:hAnsi="宋体" w:cs="宋体"/>
                <w:color w:val="auto"/>
                <w:sz w:val="20"/>
                <w:szCs w:val="20"/>
                <w:u w:val="none"/>
              </w:rPr>
              <w:t xml:space="preserve">▲7、篮球架钢架、连接杆、螺栓、走轮等零部件均依据GB/T 10125-2021标准，中性盐雾测试后，样品表面无生锈及腐蚀现象。（提供CMA/CNAS认证机构出具的检测报告加盖公章。）</w:t>
            </w:r>
            <w:r/>
          </w:p>
          <w:p>
            <w:pPr>
              <w:numPr>
                <w:ilvl w:val="0"/>
                <w:numId w:val="0"/>
              </w:numPr>
              <w:jc w:val="left"/>
              <w:widowControl/>
              <w:rPr>
                <w:rFonts w:ascii="宋体" w:hAnsi="宋体" w:cs="宋体"/>
                <w:color w:val="000000"/>
                <w:sz w:val="20"/>
                <w:szCs w:val="20"/>
                <w:u w:val="none"/>
              </w:rPr>
            </w:pPr>
            <w:r>
              <w:rPr>
                <w:rFonts w:hint="eastAsia" w:ascii="宋体" w:hAnsi="宋体" w:cs="宋体"/>
                <w:color w:val="auto"/>
                <w:sz w:val="20"/>
                <w:szCs w:val="20"/>
                <w:u w:val="none"/>
              </w:rPr>
              <w:t xml:space="preserve">▲8、篮球架钢架、连接杆、螺栓、走轮等零部件均依据GB/T 16422.3-2022标准，UV紫外老化检测，样品无明显变色、无开裂、脱落、气泡等现象。（提供CMA/CNAS认证机构出具的检测报告加盖公章。）</w:t>
            </w:r>
            <w:r/>
          </w:p>
        </w:tc>
      </w:tr>
      <w:tr>
        <w:trPr/>
        <w:tc>
          <w:tcPr>
            <w:shd w:val="clear" w:color="auto" w:fill="auto"/>
            <w:tcW w:w="0" w:type="auto"/>
            <w:vAlign w:val="center"/>
            <w:textDirection w:val="lrTb"/>
            <w:noWrap/>
          </w:tcPr>
          <w:p>
            <w:pPr>
              <w:pStyle w:val="899"/>
              <w:numPr>
                <w:ilvl w:val="0"/>
                <w:numId w:val="12"/>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篮球、排球计时记分系统</w:t>
            </w:r>
            <w:r/>
          </w:p>
        </w:tc>
        <w:tc>
          <w:tcPr>
            <w:shd w:val="clear" w:color="auto" w:fill="auto"/>
            <w:tcW w:w="0" w:type="auto"/>
            <w:vAlign w:val="center"/>
            <w:textDirection w:val="lrTb"/>
            <w:noWrap w:val="false"/>
          </w:tcPr>
          <w:p>
            <w:pPr>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 包含裁判器（1台），多功能球类软件（1套），适用于篮球、排球比赛计时记分，支持LED大屏显示比分画面；单面五位24S显示牌（1套），24S控制手柄（1个），时间控制手柄（1个），讯响器（1台），发光体（1套），进攻指示器（1台），三面犯规显示屏（2个），TYPE-C拓展坞（四合一）（1个）。规格尺寸：</w:t>
            </w:r>
            <w:r/>
          </w:p>
          <w:p>
            <w:pPr>
              <w:jc w:val="left"/>
              <w:widowControl/>
              <w:rPr>
                <w:rFonts w:hint="eastAsia" w:ascii="宋体" w:hAnsi="宋体" w:cs="宋体"/>
                <w:color w:val="auto"/>
                <w:sz w:val="20"/>
                <w:szCs w:val="20"/>
                <w:u w:val="none"/>
              </w:rPr>
            </w:pPr>
            <w:r>
              <w:rPr>
                <w:rFonts w:hint="eastAsia" w:ascii="宋体" w:hAnsi="宋体" w:cs="宋体"/>
                <w:color w:val="auto"/>
                <w:sz w:val="20"/>
                <w:szCs w:val="20"/>
                <w:u w:val="none"/>
              </w:rPr>
              <w:t xml:space="preserve">★1. 裁判器：外形参考尺寸38cm(长)*35cm(宽)*9cm(高）（允许3%以内的偏离），重量7KG±2KG，不锈钢材质，不小于5寸液晶比分显示屏，支持Windows系统，多种接口，标准计时系统误差小于10ms，串口通讯不低于1200米、网口通讯不低于100米，满足国际级赛事标准，具备多种计时和记分功能，适用多种球类比赛，具备数据发送功能。可适用比赛项目。</w:t>
            </w:r>
            <w:r/>
          </w:p>
          <w:p>
            <w:pPr>
              <w:jc w:val="left"/>
              <w:widowControl/>
              <w:rPr>
                <w:rFonts w:hint="eastAsia" w:ascii="宋体" w:hAnsi="宋体" w:cs="宋体"/>
                <w:color w:val="auto"/>
                <w:sz w:val="20"/>
                <w:szCs w:val="20"/>
                <w:u w:val="none"/>
              </w:rPr>
            </w:pPr>
            <w:r>
              <w:rPr>
                <w:rFonts w:hint="eastAsia" w:ascii="宋体" w:hAnsi="宋体" w:cs="宋体"/>
                <w:color w:val="auto"/>
                <w:sz w:val="20"/>
                <w:szCs w:val="20"/>
                <w:u w:val="none"/>
              </w:rPr>
              <w:t xml:space="preserve">拥有数据发送功能：具备网络发布功能，可对局域网内任意电脑进行比赛数据的发送，还可通过局域网对转播车进行数据发送，方便电视台对比赛数据的实时转播，（提供演示视频证明）。</w:t>
            </w:r>
            <w:r/>
          </w:p>
          <w:p>
            <w:pPr>
              <w:numPr>
                <w:ilvl w:val="0"/>
                <w:numId w:val="0"/>
              </w:numPr>
              <w:jc w:val="left"/>
              <w:widowControl/>
              <w:rPr>
                <w:rFonts w:hint="eastAsia" w:ascii="宋体" w:hAnsi="宋体" w:cs="宋体"/>
                <w:color w:val="auto"/>
                <w:sz w:val="20"/>
                <w:szCs w:val="20"/>
                <w:u w:val="none"/>
              </w:rPr>
            </w:pPr>
            <w:r>
              <w:rPr>
                <w:rFonts w:hint="eastAsia" w:ascii="宋体" w:hAnsi="宋体" w:cs="宋体"/>
                <w:color w:val="auto"/>
                <w:sz w:val="20"/>
                <w:szCs w:val="20"/>
                <w:u w:val="none"/>
                <w:lang w:val="en-US" w:eastAsia="zh-CN"/>
              </w:rPr>
              <w:t xml:space="preserve">2.</w:t>
            </w:r>
            <w:r>
              <w:rPr>
                <w:rFonts w:hint="eastAsia" w:ascii="宋体" w:hAnsi="宋体" w:cs="宋体"/>
                <w:color w:val="auto"/>
                <w:sz w:val="20"/>
                <w:szCs w:val="20"/>
                <w:u w:val="none"/>
              </w:rPr>
              <w:t xml:space="preserve">支持多种球类比赛，可导入比赛报名表，自动生成比赛数据，支持赛前确认首发队员，对接LED大屏。，可调制画面大小。</w:t>
            </w:r>
            <w:r/>
          </w:p>
          <w:p>
            <w:pPr>
              <w:numPr>
                <w:ilvl w:val="0"/>
                <w:numId w:val="0"/>
              </w:numPr>
              <w:jc w:val="left"/>
              <w:widowControl/>
              <w:rPr>
                <w:rFonts w:hint="eastAsia" w:ascii="宋体" w:hAnsi="宋体" w:cs="宋体"/>
                <w:color w:val="auto"/>
                <w:sz w:val="20"/>
                <w:szCs w:val="20"/>
                <w:u w:val="none"/>
              </w:rPr>
            </w:pPr>
            <w:r>
              <w:rPr>
                <w:rFonts w:hint="eastAsia" w:ascii="宋体" w:hAnsi="宋体" w:cs="宋体"/>
                <w:color w:val="auto"/>
                <w:sz w:val="20"/>
                <w:szCs w:val="20"/>
                <w:u w:val="none"/>
              </w:rPr>
              <w:t xml:space="preserve">★3. 篮球、球类计时记分系统：电击危险防护、接地装置，依据 :GB31187-2014《体育用品 电气部分的通用要求》检测标准，检测结果均为符合技术要求 。（须提供具有CMA和CNAS标识的检测报告加盖公章）</w:t>
            </w:r>
            <w:r/>
          </w:p>
          <w:p>
            <w:pPr>
              <w:numPr>
                <w:ilvl w:val="0"/>
                <w:numId w:val="0"/>
              </w:numPr>
              <w:jc w:val="left"/>
              <w:widowControl/>
              <w:rPr>
                <w:rFonts w:hint="eastAsia" w:ascii="宋体" w:hAnsi="宋体" w:cs="宋体"/>
                <w:color w:val="000000"/>
                <w:sz w:val="20"/>
                <w:szCs w:val="20"/>
                <w:u w:val="none"/>
              </w:rPr>
            </w:pPr>
            <w:r>
              <w:rPr>
                <w:rFonts w:hint="eastAsia" w:ascii="宋体" w:hAnsi="宋体" w:cs="宋体"/>
                <w:color w:val="000000"/>
                <w:sz w:val="20"/>
                <w:szCs w:val="20"/>
                <w:u w:val="none"/>
                <w:lang w:val="en-US" w:eastAsia="zh-CN"/>
              </w:rPr>
              <w:t xml:space="preserve">4.</w:t>
            </w:r>
            <w:r>
              <w:rPr>
                <w:rFonts w:hint="eastAsia" w:ascii="宋体" w:hAnsi="宋体" w:cs="宋体"/>
                <w:color w:val="000000"/>
                <w:sz w:val="20"/>
                <w:szCs w:val="20"/>
                <w:u w:val="none"/>
              </w:rPr>
              <w:t xml:space="preserve">24S牌：单面五位24秒显示牌，外形参考尺寸68cm(长)*11cm(宽)*57cm(高）（允许3%以内的偏离），体积不小于0.042m³，重量不小于10kg，金属材质，正面加厚亚格力板，具有灯带输出接口和喇叭输出。</w:t>
            </w:r>
            <w:r/>
          </w:p>
          <w:p>
            <w:pPr>
              <w:numPr>
                <w:ilvl w:val="0"/>
                <w:numId w:val="0"/>
              </w:numPr>
              <w:jc w:val="left"/>
              <w:widowControl/>
              <w:rPr>
                <w:rFonts w:hint="eastAsia" w:ascii="宋体" w:hAnsi="宋体" w:cs="宋体"/>
                <w:color w:val="000000"/>
                <w:sz w:val="20"/>
                <w:szCs w:val="20"/>
                <w:u w:val="none"/>
              </w:rPr>
            </w:pPr>
            <w:r>
              <w:rPr>
                <w:rFonts w:hint="eastAsia" w:ascii="宋体" w:hAnsi="宋体" w:cs="宋体"/>
                <w:color w:val="000000"/>
                <w:sz w:val="20"/>
                <w:szCs w:val="20"/>
                <w:u w:val="none"/>
                <w:lang w:val="en-US" w:eastAsia="zh-CN"/>
              </w:rPr>
              <w:t xml:space="preserve">5.</w:t>
            </w:r>
            <w:r>
              <w:rPr>
                <w:rFonts w:hint="eastAsia" w:ascii="宋体" w:hAnsi="宋体" w:cs="宋体"/>
                <w:color w:val="000000"/>
                <w:sz w:val="20"/>
                <w:szCs w:val="20"/>
                <w:u w:val="none"/>
              </w:rPr>
              <w:t xml:space="preserve">24秒控制器：控制比赛24S时间的开始、暂停、复位。</w:t>
            </w:r>
            <w:r/>
          </w:p>
          <w:p>
            <w:pPr>
              <w:numPr>
                <w:ilvl w:val="0"/>
                <w:numId w:val="0"/>
              </w:numPr>
              <w:jc w:val="left"/>
              <w:widowControl/>
              <w:rPr>
                <w:rFonts w:hint="eastAsia" w:ascii="宋体" w:hAnsi="宋体" w:cs="宋体"/>
                <w:color w:val="000000"/>
                <w:sz w:val="20"/>
                <w:szCs w:val="20"/>
                <w:u w:val="none"/>
              </w:rPr>
            </w:pPr>
            <w:r>
              <w:rPr>
                <w:rFonts w:hint="eastAsia" w:ascii="宋体" w:hAnsi="宋体" w:cs="宋体"/>
                <w:color w:val="000000"/>
                <w:sz w:val="20"/>
                <w:szCs w:val="20"/>
                <w:u w:val="none"/>
                <w:lang w:val="en-US" w:eastAsia="zh-CN"/>
              </w:rPr>
              <w:t xml:space="preserve">6.</w:t>
            </w:r>
            <w:r>
              <w:rPr>
                <w:rFonts w:hint="eastAsia" w:ascii="宋体" w:hAnsi="宋体" w:cs="宋体"/>
                <w:color w:val="000000"/>
                <w:sz w:val="20"/>
                <w:szCs w:val="20"/>
                <w:u w:val="none"/>
              </w:rPr>
              <w:t xml:space="preserve">讯响器：外形参考尺寸21cm（长）*16cm（宽）*15cm(高）（允许3%以内的偏离），重量≥4kg，带有输出喇叭，用于比赛过程中提示暂停、换人等。</w:t>
            </w:r>
            <w:r/>
          </w:p>
          <w:p>
            <w:pPr>
              <w:numPr>
                <w:ilvl w:val="0"/>
                <w:numId w:val="0"/>
              </w:numPr>
              <w:jc w:val="left"/>
              <w:widowControl/>
              <w:rPr>
                <w:rFonts w:hint="eastAsia" w:ascii="宋体" w:hAnsi="宋体" w:cs="宋体"/>
                <w:color w:val="000000"/>
                <w:sz w:val="20"/>
                <w:szCs w:val="20"/>
                <w:u w:val="none"/>
              </w:rPr>
            </w:pPr>
            <w:r>
              <w:rPr>
                <w:rFonts w:hint="eastAsia" w:ascii="宋体" w:hAnsi="宋体" w:cs="宋体"/>
                <w:color w:val="000000"/>
                <w:sz w:val="20"/>
                <w:szCs w:val="20"/>
                <w:u w:val="none"/>
                <w:lang w:val="en-US" w:eastAsia="zh-CN"/>
              </w:rPr>
              <w:t xml:space="preserve">7.</w:t>
            </w:r>
            <w:r>
              <w:rPr>
                <w:rFonts w:hint="eastAsia" w:ascii="宋体" w:hAnsi="宋体" w:cs="宋体"/>
                <w:color w:val="000000"/>
                <w:sz w:val="20"/>
                <w:szCs w:val="20"/>
                <w:u w:val="none"/>
              </w:rPr>
              <w:t xml:space="preserve">双色灯带：安装在篮框上，比赛时间结束自动发光提示。</w:t>
            </w:r>
            <w:r/>
          </w:p>
          <w:p>
            <w:pPr>
              <w:numPr>
                <w:ilvl w:val="0"/>
                <w:numId w:val="0"/>
              </w:numPr>
              <w:jc w:val="left"/>
              <w:widowControl/>
              <w:rPr>
                <w:rFonts w:hint="eastAsia" w:ascii="宋体" w:hAnsi="宋体" w:cs="宋体"/>
                <w:color w:val="000000"/>
                <w:sz w:val="20"/>
                <w:szCs w:val="20"/>
                <w:u w:val="none"/>
              </w:rPr>
            </w:pPr>
            <w:r>
              <w:rPr>
                <w:rFonts w:hint="eastAsia" w:ascii="宋体" w:hAnsi="宋体" w:cs="宋体"/>
                <w:color w:val="000000"/>
                <w:sz w:val="20"/>
                <w:szCs w:val="20"/>
                <w:u w:val="none"/>
                <w:lang w:val="en-US" w:eastAsia="zh-CN"/>
              </w:rPr>
              <w:t xml:space="preserve">8.</w:t>
            </w:r>
            <w:r>
              <w:rPr>
                <w:rFonts w:hint="eastAsia" w:ascii="宋体" w:hAnsi="宋体" w:cs="宋体"/>
                <w:color w:val="000000"/>
                <w:sz w:val="20"/>
                <w:szCs w:val="20"/>
                <w:u w:val="none"/>
              </w:rPr>
              <w:t xml:space="preserve">进攻指示器：外形参考尺寸42cm（长）*7cm（宽）*22.5cm(高）（允许3%以内的偏离），重量≥2kg，金属框架，单面灯珠板，用于进攻方向指示。</w:t>
            </w:r>
            <w:r/>
          </w:p>
          <w:p>
            <w:pPr>
              <w:numPr>
                <w:ilvl w:val="0"/>
                <w:numId w:val="0"/>
              </w:numPr>
              <w:jc w:val="left"/>
              <w:widowControl/>
              <w:rPr>
                <w:rFonts w:hint="eastAsia" w:ascii="宋体" w:hAnsi="宋体" w:cs="宋体"/>
                <w:color w:val="000000"/>
                <w:sz w:val="20"/>
                <w:szCs w:val="20"/>
                <w:u w:val="none"/>
              </w:rPr>
            </w:pPr>
            <w:r>
              <w:rPr>
                <w:rFonts w:hint="eastAsia" w:ascii="宋体" w:hAnsi="宋体" w:cs="宋体"/>
                <w:color w:val="000000"/>
                <w:sz w:val="20"/>
                <w:szCs w:val="20"/>
                <w:u w:val="none"/>
                <w:lang w:val="en-US" w:eastAsia="zh-CN"/>
              </w:rPr>
              <w:t xml:space="preserve">9.</w:t>
            </w:r>
            <w:r>
              <w:rPr>
                <w:rFonts w:hint="eastAsia" w:ascii="宋体" w:hAnsi="宋体" w:cs="宋体"/>
                <w:color w:val="000000"/>
                <w:sz w:val="20"/>
                <w:szCs w:val="20"/>
                <w:u w:val="none"/>
              </w:rPr>
              <w:t xml:space="preserve">犯规指示器：外形参考尺寸20cm（长）*20cm（宽）*32cm(高）（允许3%以内的偏离），重量≥3.0kg，金属框架，三面灯珠板。 </w:t>
            </w:r>
            <w:r/>
          </w:p>
          <w:p>
            <w:pPr>
              <w:numPr>
                <w:ilvl w:val="0"/>
                <w:numId w:val="0"/>
              </w:numPr>
              <w:jc w:val="left"/>
              <w:widowControl/>
              <w:rPr>
                <w:rFonts w:hint="eastAsia" w:ascii="宋体" w:hAnsi="宋体" w:cs="宋体"/>
                <w:color w:val="000000"/>
                <w:sz w:val="20"/>
                <w:szCs w:val="20"/>
                <w:u w:val="none"/>
              </w:rPr>
            </w:pPr>
            <w:r>
              <w:rPr>
                <w:rFonts w:hint="eastAsia" w:ascii="宋体" w:hAnsi="宋体" w:cs="宋体"/>
                <w:color w:val="000000"/>
                <w:sz w:val="20"/>
                <w:szCs w:val="20"/>
                <w:u w:val="none"/>
                <w:lang w:val="en-US" w:eastAsia="zh-CN"/>
              </w:rPr>
              <w:t xml:space="preserve">10.</w:t>
            </w:r>
            <w:r>
              <w:rPr>
                <w:rFonts w:hint="eastAsia" w:ascii="宋体" w:hAnsi="宋体" w:cs="宋体"/>
                <w:color w:val="000000"/>
                <w:sz w:val="20"/>
                <w:szCs w:val="20"/>
                <w:u w:val="none"/>
              </w:rPr>
              <w:t xml:space="preserve">大屏接口控制系统：支持比赛全程监督，同步显示比赛数据，可根据LED大屏分辨率调制画面显示大小。</w:t>
            </w:r>
            <w:r/>
          </w:p>
          <w:p>
            <w:pPr>
              <w:numPr>
                <w:ilvl w:val="0"/>
                <w:numId w:val="0"/>
              </w:num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11</w:t>
            </w:r>
            <w:r>
              <w:rPr>
                <w:rFonts w:hint="eastAsia" w:ascii="宋体" w:hAnsi="宋体" w:cs="宋体"/>
                <w:color w:val="000000"/>
                <w:sz w:val="20"/>
                <w:szCs w:val="20"/>
                <w:u w:val="none"/>
                <w:lang w:val="en-US" w:eastAsia="zh-CN"/>
              </w:rPr>
              <w:t xml:space="preserve">.</w:t>
            </w:r>
            <w:r>
              <w:rPr>
                <w:rFonts w:hint="eastAsia" w:ascii="宋体" w:hAnsi="宋体" w:cs="宋体"/>
                <w:color w:val="000000"/>
                <w:sz w:val="20"/>
                <w:szCs w:val="20"/>
                <w:u w:val="none"/>
              </w:rPr>
              <w:t xml:space="preserve">为了保障教学、体测与考试数据安全、有效性和稳定性，系统须具有自主知识产权。</w:t>
            </w:r>
            <w:r/>
          </w:p>
        </w:tc>
      </w:tr>
      <w:tr>
        <w:trPr/>
        <w:tc>
          <w:tcPr>
            <w:shd w:val="clear" w:color="auto" w:fill="auto"/>
            <w:tcW w:w="0" w:type="auto"/>
            <w:vAlign w:val="center"/>
            <w:textDirection w:val="lrTb"/>
            <w:noWrap/>
          </w:tcPr>
          <w:p>
            <w:pPr>
              <w:pStyle w:val="899"/>
              <w:numPr>
                <w:ilvl w:val="0"/>
                <w:numId w:val="0"/>
              </w:numPr>
              <w:contextualSpacing w:val="0"/>
              <w:jc w:val="both"/>
              <w:widowControl/>
              <w:rPr>
                <w:rFonts w:hint="default" w:ascii="宋体" w:hAnsi="宋体" w:cs="宋体"/>
                <w:color w:val="000000"/>
                <w:sz w:val="20"/>
                <w:szCs w:val="20"/>
                <w:u w:val="none"/>
                <w:lang w:val="en-US"/>
              </w:rPr>
            </w:pPr>
            <w:r>
              <w:rPr>
                <w:rFonts w:hint="eastAsia" w:ascii="宋体" w:hAnsi="宋体" w:cs="宋体"/>
                <w:color w:val="000000"/>
                <w:sz w:val="20"/>
                <w:szCs w:val="20"/>
                <w:u w:val="none"/>
                <w:lang w:val="en-US" w:eastAsia="zh-CN"/>
              </w:rPr>
              <w:t xml:space="preserve">5</w:t>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auto"/>
                <w:sz w:val="20"/>
                <w:szCs w:val="20"/>
                <w:highlight w:val="none"/>
                <w:u w:val="none"/>
              </w:rPr>
              <w:t xml:space="preserve">指纹存包柜</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参考尺寸：2550* 460*1800mm（允许5%以内的偏离） 36门指纹存包柜，便捷新存储，采用加厚冷轧钢板，厚度≧0.7mm，表面静电喷塑，绿色环保；</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八、器材室</w:t>
            </w:r>
            <w:r/>
          </w:p>
        </w:tc>
      </w:tr>
      <w:tr>
        <w:trPr/>
        <w:tc>
          <w:tcPr>
            <w:shd w:val="clear" w:color="auto" w:fill="auto"/>
            <w:tcW w:w="0" w:type="auto"/>
            <w:vAlign w:val="center"/>
            <w:textDirection w:val="lrTb"/>
            <w:noWrap/>
          </w:tcPr>
          <w:p>
            <w:pPr>
              <w:pStyle w:val="899"/>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折叠式球类推车</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1.参考尺寸：长×宽×高=900*800*800(mm)（允许2%以内的偏离）。2.材质：不锈钢。3.推车支脚底部装有滚轮，移动方便。</w:t>
            </w:r>
            <w:r/>
          </w:p>
        </w:tc>
      </w:tr>
      <w:tr>
        <w:trPr/>
        <w:tc>
          <w:tcPr>
            <w:shd w:val="clear" w:color="auto" w:fill="auto"/>
            <w:tcW w:w="0" w:type="auto"/>
            <w:vAlign w:val="center"/>
            <w:textDirection w:val="lrTb"/>
            <w:noWrap/>
          </w:tcPr>
          <w:p>
            <w:pPr>
              <w:pStyle w:val="899"/>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球类推车</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车体材料采用≥￠25*δ1.5mm钢管焊接而成,底脚装有万向轮,整体采用表面酸洗磷化、喷塑涂饰。</w:t>
            </w:r>
            <w:r/>
          </w:p>
        </w:tc>
      </w:tr>
      <w:tr>
        <w:trPr/>
        <w:tc>
          <w:tcPr>
            <w:shd w:val="clear" w:color="auto" w:fill="auto"/>
            <w:tcW w:w="0" w:type="auto"/>
            <w:vAlign w:val="center"/>
            <w:textDirection w:val="lrTb"/>
            <w:noWrap/>
          </w:tcPr>
          <w:p>
            <w:pPr>
              <w:pStyle w:val="899"/>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排球</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5号球；表皮：PU材质；球胆材质：加强丁基内胆；周长：650-670mm；重量：260-280g。</w:t>
            </w:r>
            <w:r/>
          </w:p>
        </w:tc>
      </w:tr>
      <w:tr>
        <w:trPr/>
        <w:tc>
          <w:tcPr>
            <w:shd w:val="clear" w:color="auto" w:fill="auto"/>
            <w:tcW w:w="0" w:type="auto"/>
            <w:vAlign w:val="center"/>
            <w:textDirection w:val="lrTb"/>
            <w:noWrap/>
          </w:tcPr>
          <w:p>
            <w:pPr>
              <w:pStyle w:val="899"/>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标枪</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质量500g±10g，长2000mm～2100mm,枪头和强尾用柔软塑胶材料制成，枪体为铝合金制成</w:t>
            </w:r>
            <w:r/>
          </w:p>
        </w:tc>
      </w:tr>
      <w:tr>
        <w:trPr/>
        <w:tc>
          <w:tcPr>
            <w:shd w:val="clear" w:color="auto" w:fill="auto"/>
            <w:tcW w:w="0" w:type="auto"/>
            <w:vAlign w:val="center"/>
            <w:textDirection w:val="lrTb"/>
            <w:noWrap/>
          </w:tcPr>
          <w:p>
            <w:pPr>
              <w:pStyle w:val="899"/>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电子跳绳</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≧2.8M钢丝长绳硅胶防滑手柄,高速精钢轴承,60S倒计时提醒,智能计数芯片</w:t>
            </w:r>
            <w:r/>
          </w:p>
        </w:tc>
      </w:tr>
      <w:tr>
        <w:trPr/>
        <w:tc>
          <w:tcPr>
            <w:shd w:val="clear" w:color="auto" w:fill="auto"/>
            <w:tcW w:w="0" w:type="auto"/>
            <w:vAlign w:val="center"/>
            <w:textDirection w:val="lrTb"/>
            <w:noWrap/>
          </w:tcPr>
          <w:p>
            <w:pPr>
              <w:pStyle w:val="899"/>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网球</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直径：65mm--68mm，重量：56.5-59.4G，表面材质：化纤毛，弹性：从 2.54 米高度自由下落至混凝土表面，反弹高度应在 1.3-1.5 米之间</w:t>
            </w:r>
            <w:r/>
          </w:p>
        </w:tc>
      </w:tr>
      <w:tr>
        <w:trPr/>
        <w:tc>
          <w:tcPr>
            <w:shd w:val="clear" w:color="auto" w:fill="auto"/>
            <w:tcW w:w="0" w:type="auto"/>
            <w:vAlign w:val="center"/>
            <w:textDirection w:val="lrTb"/>
            <w:noWrap/>
          </w:tcPr>
          <w:p>
            <w:pPr>
              <w:pStyle w:val="899"/>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大绳</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跳绳、长跳绳，绳长度4000mm～6000mm，直径8～9mm，质量140g～235g；柄(2个)：长度140mm～170mm，直径26mm～33mm，质量70g～90g、</w:t>
            </w:r>
            <w:r/>
          </w:p>
        </w:tc>
      </w:tr>
      <w:tr>
        <w:trPr/>
        <w:tc>
          <w:tcPr>
            <w:shd w:val="clear" w:color="auto" w:fill="auto"/>
            <w:tcW w:w="0" w:type="auto"/>
            <w:vAlign w:val="center"/>
            <w:textDirection w:val="lrTb"/>
            <w:noWrap/>
          </w:tcPr>
          <w:p>
            <w:pPr>
              <w:pStyle w:val="899"/>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毽子</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毽毛应采用≧4支鹅翎，羽毛宽32～35mm，成十字型插在毛管内，插毛管高22mm～24mm，毽垫直径38mm～40mm，厚度15mm～20mm，球高130mm～135mm，球重13g～15g</w:t>
            </w:r>
            <w:r/>
          </w:p>
        </w:tc>
      </w:tr>
      <w:tr>
        <w:trPr/>
        <w:tc>
          <w:tcPr>
            <w:shd w:val="clear" w:color="auto" w:fill="auto"/>
            <w:tcW w:w="0" w:type="auto"/>
            <w:vAlign w:val="center"/>
            <w:textDirection w:val="lrTb"/>
            <w:noWrap/>
          </w:tcPr>
          <w:p>
            <w:pPr>
              <w:pStyle w:val="899"/>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跨栏搬运车</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 1、跨栏架搬运车外形基本尺寸：长×宽×高=1200×800×1130（㎜）（允许2%以内的偏离）。2、跨栏架搬运车主要采用φ32×2圆管在专用弯管机上弯曲成形后拼焊而成。3、跨栏架一次可置跨栏不少于10个，且其底架设有尼龙走轮，移动方便。</w:t>
            </w:r>
            <w:r/>
          </w:p>
        </w:tc>
      </w:tr>
      <w:tr>
        <w:trPr/>
        <w:tc>
          <w:tcPr>
            <w:shd w:val="clear" w:color="auto" w:fill="auto"/>
            <w:tcW w:w="0" w:type="auto"/>
            <w:vAlign w:val="center"/>
            <w:textDirection w:val="lrTb"/>
            <w:noWrap/>
          </w:tcPr>
          <w:p>
            <w:pPr>
              <w:pStyle w:val="899"/>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普通跳绳</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跳绳、短跳绳，绳长度2600mm～2800mm，直径3mm±0.5mm，质量60g～80g,柄(2个)：长度140mm～170mm，直径26mm～33mm，质量70g～90g、</w:t>
            </w:r>
            <w:r/>
          </w:p>
        </w:tc>
      </w:tr>
      <w:tr>
        <w:trPr>
          <w:trHeight w:val="608"/>
        </w:trPr>
        <w:tc>
          <w:tcPr>
            <w:shd w:val="clear" w:color="auto" w:fill="auto"/>
            <w:tcW w:w="0" w:type="auto"/>
            <w:vAlign w:val="center"/>
            <w:textDirection w:val="lrTb"/>
            <w:noWrap/>
          </w:tcPr>
          <w:p>
            <w:pPr>
              <w:pStyle w:val="899"/>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网球拍</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长度53cm～58cm，质量200g～230g，拍弦面长度29cm～30cm，拍弦面宽度22cm～23cm，拍弦面面积715cm2～775cm2，单支</w:t>
            </w:r>
            <w:r/>
          </w:p>
        </w:tc>
      </w:tr>
      <w:tr>
        <w:trPr/>
        <w:tc>
          <w:tcPr>
            <w:shd w:val="clear" w:color="auto" w:fill="auto"/>
            <w:tcW w:w="0" w:type="auto"/>
            <w:vAlign w:val="center"/>
            <w:textDirection w:val="lrTb"/>
            <w:noWrap/>
          </w:tcPr>
          <w:p>
            <w:pPr>
              <w:pStyle w:val="899"/>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彩旗</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旗帜布料，尺寸80*120cm（允许2%以内的偏离），配不锈钢伸缩杆</w:t>
            </w:r>
            <w:r/>
          </w:p>
        </w:tc>
      </w:tr>
      <w:tr>
        <w:trPr/>
        <w:tc>
          <w:tcPr>
            <w:shd w:val="clear" w:color="auto" w:fill="auto"/>
            <w:tcW w:w="0" w:type="auto"/>
            <w:vAlign w:val="center"/>
            <w:textDirection w:val="lrTb"/>
            <w:noWrap/>
          </w:tcPr>
          <w:p>
            <w:pPr>
              <w:pStyle w:val="899"/>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气排球</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圆周长为610mm，质量150g  球外壳由PU 革制作。球胆橡胶。</w:t>
            </w:r>
            <w:r/>
          </w:p>
        </w:tc>
      </w:tr>
      <w:tr>
        <w:trPr/>
        <w:tc>
          <w:tcPr>
            <w:shd w:val="clear" w:color="auto" w:fill="auto"/>
            <w:tcW w:w="0" w:type="auto"/>
            <w:vAlign w:val="center"/>
            <w:textDirection w:val="lrTb"/>
            <w:noWrap/>
          </w:tcPr>
          <w:p>
            <w:pPr>
              <w:pStyle w:val="899"/>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篮球</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比赛用球7号球；主要材质：PU；构造：丁基内胆重量：567-650g产品特点：PU表皮，柔软防滑。</w:t>
            </w:r>
            <w:r/>
          </w:p>
        </w:tc>
      </w:tr>
      <w:tr>
        <w:trPr/>
        <w:tc>
          <w:tcPr>
            <w:shd w:val="clear" w:color="auto" w:fill="auto"/>
            <w:tcW w:w="0" w:type="auto"/>
            <w:vAlign w:val="center"/>
            <w:textDirection w:val="lrTb"/>
            <w:noWrap/>
          </w:tcPr>
          <w:p>
            <w:pPr>
              <w:pStyle w:val="899"/>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接力棒</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接力棒参考尺寸：φ38×285（mm）（允许5%以内的偏离）。2、接力棒采用δ0.5±0.2的铝合金制作，棒的两端倒角卷边处理。3、接力棒的重量至少为50g。4、棒的表面经氧化处理，颜色分红、黄、蓝、青、降红、黑色等。</w:t>
            </w:r>
            <w:r/>
          </w:p>
        </w:tc>
      </w:tr>
      <w:tr>
        <w:trPr/>
        <w:tc>
          <w:tcPr>
            <w:shd w:val="clear" w:color="auto" w:fill="auto"/>
            <w:tcW w:w="0" w:type="auto"/>
            <w:vAlign w:val="center"/>
            <w:textDirection w:val="lrTb"/>
            <w:noWrap/>
          </w:tcPr>
          <w:p>
            <w:pPr>
              <w:pStyle w:val="899"/>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实心球</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圆周长420mm～780mm，质量2000g±30g，采用适宜的软性材料，球体表面应进行防滑处理，不应有颗粒脱落、裂缝等缺陷，经过从10m高处自由落体试验后，应无破裂</w:t>
            </w:r>
            <w:r/>
          </w:p>
        </w:tc>
      </w:tr>
      <w:tr>
        <w:trPr/>
        <w:tc>
          <w:tcPr>
            <w:shd w:val="clear" w:color="auto" w:fill="auto"/>
            <w:tcW w:w="0" w:type="auto"/>
            <w:vAlign w:val="center"/>
            <w:textDirection w:val="lrTb"/>
            <w:noWrap/>
          </w:tcPr>
          <w:p>
            <w:pPr>
              <w:pStyle w:val="899"/>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起跑器</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起跑器、长640mm,宽100mm,三角体抵脚板,长160mm,宽120mm,高130mm，倾斜度可调整（以上数据允许3%以内的偏离）</w:t>
            </w:r>
            <w:r/>
          </w:p>
        </w:tc>
      </w:tr>
      <w:tr>
        <w:trPr/>
        <w:tc>
          <w:tcPr>
            <w:shd w:val="clear" w:color="auto" w:fill="auto"/>
            <w:tcW w:w="0" w:type="auto"/>
            <w:vAlign w:val="center"/>
            <w:textDirection w:val="lrTb"/>
            <w:noWrap/>
          </w:tcPr>
          <w:p>
            <w:pPr>
              <w:pStyle w:val="899"/>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铅球</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质量3.000kg～3.030kg，，直径90mm～100mm，应用铁、铜或其他硬度不低于铜的金属材料制成，球体重心距球体中心距离不大于6mm</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九、室内看台</w:t>
            </w:r>
            <w:r/>
          </w:p>
        </w:tc>
      </w:tr>
      <w:tr>
        <w:trPr/>
        <w:tc>
          <w:tcPr>
            <w:shd w:val="clear" w:color="auto" w:fill="auto"/>
            <w:tcW w:w="0" w:type="auto"/>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直立式中靠背座椅</w:t>
            </w:r>
            <w:r/>
          </w:p>
        </w:tc>
        <w:tc>
          <w:tcPr>
            <w:shd w:val="clear" w:color="auto" w:fill="auto"/>
            <w:tcW w:w="0" w:type="auto"/>
            <w:vAlign w:val="center"/>
            <w:textDirection w:val="lrTb"/>
            <w:noWrap w:val="false"/>
          </w:tcPr>
          <w:p>
            <w:pPr>
              <w:jc w:val="left"/>
              <w:widowControl/>
              <w:rPr>
                <w:rFonts w:hint="eastAsia" w:ascii="宋体" w:hAnsi="宋体" w:cs="宋体"/>
                <w:color w:val="000000"/>
                <w:sz w:val="20"/>
                <w:szCs w:val="20"/>
                <w:u w:val="none"/>
              </w:rPr>
            </w:pPr>
            <w:r>
              <w:rPr>
                <w:rFonts w:hint="eastAsia" w:ascii="宋体" w:hAnsi="宋体" w:cs="宋体"/>
                <w:color w:val="000000"/>
                <w:sz w:val="20"/>
                <w:szCs w:val="20"/>
                <w:u w:val="none"/>
                <w:lang w:val="en-US" w:eastAsia="zh-CN"/>
              </w:rPr>
              <w:t xml:space="preserve">一、</w:t>
            </w:r>
            <w:r>
              <w:rPr>
                <w:rFonts w:hint="eastAsia" w:ascii="宋体" w:hAnsi="宋体" w:cs="宋体"/>
                <w:color w:val="000000"/>
                <w:sz w:val="20"/>
                <w:szCs w:val="20"/>
                <w:u w:val="none"/>
              </w:rPr>
              <w:t xml:space="preserve">椅面采用中空吹塑制造工艺，选用高密度聚乙烯材料（HDPE）一次加工成型。具有座椅表面棱角圆滑、分子量较集中、汇合缝处黏结强度高，耐老化、抗冲击性能优异等特性。聚乙烯（HDPE）是一种呈乳白色半透明的蜡状固体，分子量为10～30万。均聚物密度一般为</w:t>
            </w:r>
            <w:r>
              <w:rPr>
                <w:rFonts w:hint="eastAsia" w:ascii="宋体" w:hAnsi="宋体" w:cs="宋体"/>
                <w:color w:val="000000"/>
                <w:sz w:val="20"/>
                <w:szCs w:val="20"/>
                <w:u w:val="none"/>
              </w:rPr>
              <w:t xml:space="preserve">0.955～0.965，线性结构，分支少，结晶度为80%～90%。HDPE支链化程度最小，分子能紧密地堆砌，故密度最大（0.941g/cm3～0.965g/cm3），结晶度高。具有较高的刚性及韧性，良好的力学性能及较高的使用温度。抗老化，抗冲击性，耐低温，耐油性较好。聚乙烯（HDPE）吸水性微小，无毒，化学稳定性极佳。2、椅面外形参考尺寸：座椅宽度×座椅深度×座椅背高＝410×465×337（mm）（允许3%以内的偏离），座椅壁厚度不小于3mm。座椅重量≥2.2kg，整体使用寿命≥8年。3、座椅颜色见色卡。</w:t>
            </w:r>
            <w:r/>
          </w:p>
          <w:p>
            <w:pPr>
              <w:numPr>
                <w:ilvl w:val="0"/>
                <w:numId w:val="15"/>
              </w:numPr>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配件1、</w:t>
            </w:r>
            <w:r>
              <w:rPr>
                <w:rFonts w:hint="eastAsia" w:ascii="宋体" w:hAnsi="宋体" w:cs="宋体"/>
                <w:color w:val="000000"/>
                <w:sz w:val="20"/>
                <w:szCs w:val="20"/>
                <w:u w:val="none"/>
              </w:rPr>
              <w:t xml:space="preserve">所有钢构件均经酸洗磷化后在自动喷涂线上完成静电喷塑，以增强其抗腐蚀性。2、紧固件：座椅用膨胀螺栓与看台混凝土(水泥强度≥C20)连接，连接牢固无松动。3、（不锈钢）座位号及排号的设置：座位号设置在靠背上端，嵌入式设计；三、安装方式 1、悬挂式安装，直接将铝合金支脚通过不小于M10拉爆螺栓连接墙面，然后通过不小于M8螺栓和连接片将不小于φ32*3.0钢管和支架连接，然后通过不小于M6螺栓将座椅和不小于φ32*3.0钢管连接，可根据客户要求排列组合。安装间距为480～500mm，椅面距地面高度为425mm±3。</w:t>
            </w:r>
            <w:r/>
          </w:p>
          <w:p>
            <w:pPr>
              <w:numPr>
                <w:ilvl w:val="0"/>
                <w:numId w:val="15"/>
              </w:numPr>
              <w:ind w:left="0" w:firstLine="0"/>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座椅性能1、座椅力学性能：座面、椅背静载荷联合试验(座面:≥2600N,椅背≥1600N，≥20次，座面平衡载荷:≥2000N)，座椅零部件无断裂或豁裂现象:加载部位无明显变形;座椅结构无松动；座面、椅背耐久性联合试验(座面载荷≥1250N，≥15万次:椅背载荷≥700N，≥15万次，座面平衡荷载≥1300N)，座椅零部件无断裂或豁裂现象:加载部位无明显变形;座椅结构无松动；座面冲击试验(640mm,25次)，椅背冲击试验(340mm，25次）座椅零部件无断裂或豁裂现象:加载部位无明显变形;座椅结构无松动。</w:t>
            </w:r>
            <w:r/>
          </w:p>
          <w:p>
            <w:pPr>
              <w:numPr>
                <w:ilvl w:val="0"/>
                <w:numId w:val="16"/>
              </w:numPr>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座椅耐候：耐高低温测试要求在+100℃高温下和-70℃低温下分别放置 96小时及以上，无开裂、变形或变色。</w:t>
            </w:r>
            <w:r/>
          </w:p>
          <w:p>
            <w:pPr>
              <w:numPr>
                <w:ilvl w:val="0"/>
                <w:numId w:val="16"/>
              </w:numPr>
              <w:ind w:left="0" w:firstLine="0"/>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座椅抗菌性能：座椅PE材料具有抗菌性能检测，抗菌率不低于57%。</w:t>
            </w:r>
            <w:r/>
          </w:p>
          <w:p>
            <w:pPr>
              <w:numPr>
                <w:ilvl w:val="0"/>
                <w:numId w:val="0"/>
              </w:numPr>
              <w:jc w:val="left"/>
              <w:widowControl/>
              <w:rPr>
                <w:rFonts w:hint="eastAsia" w:ascii="宋体" w:hAnsi="宋体" w:cs="宋体"/>
                <w:color w:val="auto"/>
                <w:sz w:val="20"/>
                <w:szCs w:val="20"/>
                <w:u w:val="none"/>
              </w:rPr>
            </w:pPr>
            <w:r>
              <w:rPr>
                <w:rFonts w:hint="eastAsia" w:ascii="宋体" w:hAnsi="宋体" w:cs="宋体"/>
                <w:color w:val="auto"/>
                <w:sz w:val="20"/>
                <w:szCs w:val="20"/>
                <w:u w:val="none"/>
              </w:rPr>
              <w:t xml:space="preserve">▲4、座椅抗紫外老化性能：塑料座椅、支架、连接件、螺栓等零部件均依据GB/T 16422.3-2022标准，UV紫外老化后，样品无明显变色、无开裂、脱落、气泡等现象。（须提供具有CMA和CNAS标识的检测报告加盖公章）</w:t>
            </w:r>
            <w:r/>
          </w:p>
          <w:p>
            <w:pPr>
              <w:numPr>
                <w:ilvl w:val="0"/>
                <w:numId w:val="0"/>
              </w:numPr>
              <w:jc w:val="left"/>
              <w:widowControl/>
              <w:rPr>
                <w:rFonts w:hint="eastAsia" w:ascii="宋体" w:hAnsi="宋体" w:cs="宋体"/>
                <w:color w:val="auto"/>
                <w:sz w:val="20"/>
                <w:szCs w:val="20"/>
                <w:u w:val="none"/>
              </w:rPr>
            </w:pPr>
            <w:r>
              <w:rPr>
                <w:rFonts w:hint="eastAsia" w:ascii="宋体" w:hAnsi="宋体" w:cs="宋体"/>
                <w:color w:val="auto"/>
                <w:sz w:val="20"/>
                <w:szCs w:val="20"/>
                <w:u w:val="none"/>
              </w:rPr>
              <w:t xml:space="preserve">▲5、座椅耐盐雾性能，塑料座椅、连接件、螺栓等零部件均依据GB/T 10125-2021标准，中性盐雾测试后，样品表面无生锈及腐蚀现象。（须提供具有CMA和CNAS标识的检测报告加盖公章）</w:t>
            </w:r>
            <w:r/>
          </w:p>
          <w:p>
            <w:pPr>
              <w:numPr>
                <w:ilvl w:val="0"/>
                <w:numId w:val="0"/>
              </w:num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6、座椅支架金属结构粉末喷涂件有害物质含量测试，其中镉、铅、汞、铬、苯、邻苯均不得检出。</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十、室外操场</w:t>
            </w:r>
            <w:r/>
          </w:p>
        </w:tc>
      </w:tr>
      <w:tr>
        <w:trPr/>
        <w:tc>
          <w:tcPr>
            <w:shd w:val="clear" w:color="auto" w:fill="auto"/>
            <w:tcW w:w="0" w:type="auto"/>
            <w:vAlign w:val="center"/>
            <w:textDirection w:val="lrTb"/>
            <w:noWrap/>
          </w:tcPr>
          <w:p>
            <w:pPr>
              <w:pStyle w:val="899"/>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跳高丈量尺</w:t>
            </w:r>
            <w:r/>
          </w:p>
        </w:tc>
        <w:tc>
          <w:tcPr>
            <w:shd w:val="clear" w:color="auto" w:fill="auto"/>
            <w:tcW w:w="0" w:type="auto"/>
            <w:vAlign w:val="center"/>
            <w:textDirection w:val="lrTb"/>
            <w:noWrap w:val="false"/>
          </w:tcPr>
          <w:p>
            <w:pPr>
              <w:jc w:val="left"/>
              <w:widowControl/>
              <w:rPr>
                <w:rFonts w:hint="eastAsia"/>
                <w:color w:val="auto"/>
                <w:u w:val="none"/>
              </w:rPr>
            </w:pPr>
            <w:r>
              <w:rPr>
                <w:rFonts w:hint="eastAsia"/>
                <w:color w:val="auto"/>
                <w:u w:val="none"/>
              </w:rPr>
              <w:t xml:space="preserve">1、跳高丈量尺主要由立杆和测高器二部分组成。2、跳高丈量尺立杆采用铝合金型材制作，上面标有刻度，调高范围：600-2900mm。</w:t>
            </w:r>
            <w:r/>
          </w:p>
        </w:tc>
      </w:tr>
      <w:tr>
        <w:trPr/>
        <w:tc>
          <w:tcPr>
            <w:shd w:val="clear" w:color="auto" w:fill="auto"/>
            <w:tcW w:w="0" w:type="auto"/>
            <w:vAlign w:val="center"/>
            <w:textDirection w:val="lrTb"/>
            <w:noWrap/>
          </w:tcPr>
          <w:p>
            <w:pPr>
              <w:pStyle w:val="899"/>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跳高海绵垫</w:t>
            </w:r>
            <w:r/>
          </w:p>
        </w:tc>
        <w:tc>
          <w:tcPr>
            <w:shd w:val="clear" w:color="auto" w:fill="auto"/>
            <w:tcW w:w="0" w:type="auto"/>
            <w:vAlign w:val="center"/>
            <w:textDirection w:val="lrTb"/>
            <w:noWrap w:val="false"/>
          </w:tcPr>
          <w:p>
            <w:pPr>
              <w:jc w:val="left"/>
              <w:widowControl/>
              <w:rPr>
                <w:rFonts w:hint="eastAsia"/>
                <w:color w:val="auto"/>
                <w:u w:val="none"/>
              </w:rPr>
            </w:pPr>
            <w:r>
              <w:rPr>
                <w:rFonts w:hint="eastAsia"/>
                <w:color w:val="auto"/>
                <w:u w:val="none"/>
              </w:rPr>
              <w:t xml:space="preserve">1.跳高海绵垫主体由重磅发泡海绵组成，弹力均衡，柔软适中。2.海绵垫的形状为“凸”字形，尺寸参考：长×宽×厚=5000×3000×700（mm）（允许5%以内的偏离）。3.海绵垫中层人体落地区域配有“井”字形框架结构，用以满足落地时人体对弹性及缓冲的要求。4.海绵垫表面罩有防水帆布套，套子侧面装有拉链及拉手攀，且四周设有排气孔。</w:t>
            </w:r>
            <w:r/>
          </w:p>
        </w:tc>
      </w:tr>
      <w:tr>
        <w:trPr/>
        <w:tc>
          <w:tcPr>
            <w:shd w:val="clear" w:color="auto" w:fill="auto"/>
            <w:tcW w:w="0" w:type="auto"/>
            <w:vAlign w:val="center"/>
            <w:textDirection w:val="lrTb"/>
            <w:noWrap/>
          </w:tcPr>
          <w:p>
            <w:pPr>
              <w:pStyle w:val="899"/>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跳高海绵垫收纳仓</w:t>
            </w:r>
            <w:r/>
          </w:p>
        </w:tc>
        <w:tc>
          <w:tcPr>
            <w:shd w:val="clear" w:color="auto" w:fill="auto"/>
            <w:tcW w:w="0" w:type="auto"/>
            <w:vAlign w:val="center"/>
            <w:textDirection w:val="lrTb"/>
            <w:noWrap w:val="false"/>
          </w:tcPr>
          <w:p>
            <w:pPr>
              <w:jc w:val="left"/>
              <w:widowControl/>
              <w:rPr>
                <w:rFonts w:hint="eastAsia"/>
                <w:color w:val="auto"/>
                <w:u w:val="none"/>
              </w:rPr>
            </w:pPr>
            <w:r>
              <w:rPr>
                <w:rFonts w:hint="eastAsia"/>
                <w:color w:val="auto"/>
                <w:u w:val="none"/>
              </w:rPr>
              <w:t xml:space="preserve">顶棚上面盖有彩钢瓦，设有漏雨槽，能防止漏雨。所有钢制件表面均经酸洗、磷化等初级处理后在自动喷涂线上采用纯聚脂粉末喷涂完成后表面处理，涂层厚度 70-80u，铅笔硬度达 3H+，产品具有耐酸碱、耐湿热、抗老化、外观美观等优点，能适合潮湿和酸雨环境，适用于室外使用，且产品涂料配方不含有毒元素，避免损害使用者的健康。</w:t>
            </w:r>
            <w:r/>
          </w:p>
        </w:tc>
      </w:tr>
      <w:tr>
        <w:trPr/>
        <w:tc>
          <w:tcPr>
            <w:shd w:val="clear" w:color="auto" w:fill="auto"/>
            <w:tcW w:w="0" w:type="auto"/>
            <w:vAlign w:val="center"/>
            <w:textDirection w:val="lrTb"/>
            <w:noWrap/>
          </w:tcPr>
          <w:p>
            <w:pPr>
              <w:pStyle w:val="899"/>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跳高海绵垫底架</w:t>
            </w:r>
            <w:r/>
          </w:p>
        </w:tc>
        <w:tc>
          <w:tcPr>
            <w:shd w:val="clear" w:color="auto" w:fill="auto"/>
            <w:tcW w:w="0" w:type="auto"/>
            <w:vAlign w:val="center"/>
            <w:textDirection w:val="lrTb"/>
            <w:noWrap w:val="false"/>
          </w:tcPr>
          <w:p>
            <w:pPr>
              <w:jc w:val="left"/>
              <w:widowControl/>
              <w:rPr>
                <w:rFonts w:hint="eastAsia"/>
                <w:color w:val="auto"/>
                <w:u w:val="none"/>
              </w:rPr>
            </w:pPr>
            <w:r>
              <w:rPr>
                <w:rFonts w:hint="eastAsia"/>
                <w:color w:val="auto"/>
                <w:u w:val="none"/>
              </w:rPr>
              <w:t xml:space="preserve">此产品置于参考尺寸5×3×0.7米跳高海绵垫底部。1、尺寸参考：4.8×2.8×0.1（m）；2、跳高海绵垫底架由五小块底架通过连接片连接而成。防锈蚀性强，每块底架主要采用不小于口30×20、口20×20方管拼焊组成，焊接牢固，焊缝表面均匀光滑，无虚焊。</w:t>
            </w:r>
            <w:r/>
          </w:p>
        </w:tc>
      </w:tr>
      <w:tr>
        <w:trPr/>
        <w:tc>
          <w:tcPr>
            <w:shd w:val="clear" w:color="auto" w:fill="auto"/>
            <w:tcW w:w="0" w:type="auto"/>
            <w:vAlign w:val="center"/>
            <w:textDirection w:val="lrTb"/>
            <w:noWrap/>
          </w:tcPr>
          <w:p>
            <w:pPr>
              <w:pStyle w:val="899"/>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跳高架</w:t>
            </w:r>
            <w:r/>
          </w:p>
        </w:tc>
        <w:tc>
          <w:tcPr>
            <w:shd w:val="clear" w:color="auto" w:fill="auto"/>
            <w:tcW w:w="0" w:type="auto"/>
            <w:vAlign w:val="center"/>
            <w:textDirection w:val="lrTb"/>
            <w:noWrap w:val="false"/>
          </w:tcPr>
          <w:p>
            <w:pPr>
              <w:jc w:val="left"/>
              <w:widowControl/>
              <w:rPr>
                <w:rFonts w:hint="eastAsia"/>
                <w:color w:val="auto"/>
                <w:u w:val="none"/>
              </w:rPr>
            </w:pPr>
            <w:r>
              <w:rPr>
                <w:rFonts w:hint="eastAsia"/>
                <w:color w:val="auto"/>
                <w:u w:val="none"/>
              </w:rPr>
              <w:t xml:space="preserve">1、</w:t>
            </w:r>
            <w:r>
              <w:rPr>
                <w:rFonts w:hint="eastAsia"/>
                <w:color w:val="auto"/>
                <w:u w:val="none"/>
              </w:rPr>
              <w:t xml:space="preserve">跳高架由底座、固定立柱、移动立柱、横杆托架、微调支脚构成。产品形式简洁，结构合理，可装拆，便于运输和包装。2、固定立柱与移动立柱选用铝合金型材，型材之间采用燕尾槽配合。表面氧化处理。固定立柱上贴有不锈钢标尺，刻度调节范围：600-2600mm。3、底座选用δ4铁板一次冲压成型，避免了焊接造成的接口腐蚀，底部设有PU滚轮，移动方便。4、跳高架横杆托架采用铝压铸件，具有防腐蚀性、安全、牢固等优点且上下移动方便。5、跳高架底座底部设有微调机构，通过调节微调机构可满足场地不平整引起的跳高架的稳定性和横杆的高度要求。</w:t>
            </w:r>
            <w:r/>
          </w:p>
        </w:tc>
      </w:tr>
      <w:tr>
        <w:trPr/>
        <w:tc>
          <w:tcPr>
            <w:shd w:val="clear" w:color="auto" w:fill="auto"/>
            <w:tcW w:w="0" w:type="auto"/>
            <w:vAlign w:val="center"/>
            <w:textDirection w:val="lrTb"/>
            <w:noWrap/>
          </w:tcPr>
          <w:p>
            <w:pPr>
              <w:pStyle w:val="899"/>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跳高横杆</w:t>
            </w:r>
            <w:r/>
          </w:p>
        </w:tc>
        <w:tc>
          <w:tcPr>
            <w:shd w:val="clear" w:color="auto" w:fill="auto"/>
            <w:tcW w:w="0" w:type="auto"/>
            <w:vAlign w:val="center"/>
            <w:textDirection w:val="lrTb"/>
            <w:noWrap w:val="false"/>
          </w:tcPr>
          <w:p>
            <w:pPr>
              <w:jc w:val="left"/>
              <w:widowControl/>
              <w:rPr>
                <w:rFonts w:hint="eastAsia"/>
                <w:color w:val="auto"/>
                <w:u w:val="none"/>
              </w:rPr>
            </w:pPr>
            <w:r>
              <w:rPr>
                <w:rFonts w:hint="eastAsia"/>
                <w:color w:val="auto"/>
                <w:u w:val="none"/>
              </w:rPr>
              <w:t xml:space="preserve">1.跳高横杆由横杆和横杆接头组成。2.横杆采用φ30±2的碳素纤维制作，横杆接头采用特殊的外形结构。3.跳高横杆总长为4000mm±5</w:t>
            </w:r>
            <w:r>
              <w:rPr>
                <w:rFonts w:hint="eastAsia"/>
                <w:color w:val="auto"/>
                <w:u w:val="none"/>
                <w:lang w:val="en-US" w:eastAsia="zh-CN"/>
              </w:rPr>
              <w:t xml:space="preserve">mm</w:t>
            </w:r>
            <w:r>
              <w:rPr>
                <w:rFonts w:hint="eastAsia"/>
                <w:color w:val="auto"/>
                <w:u w:val="none"/>
              </w:rPr>
              <w:t xml:space="preserve">。</w:t>
            </w:r>
            <w:r/>
          </w:p>
        </w:tc>
      </w:tr>
      <w:tr>
        <w:trPr/>
        <w:tc>
          <w:tcPr>
            <w:shd w:val="clear" w:color="auto" w:fill="auto"/>
            <w:tcW w:w="0" w:type="auto"/>
            <w:vAlign w:val="center"/>
            <w:textDirection w:val="lrTb"/>
            <w:noWrap/>
          </w:tcPr>
          <w:p>
            <w:pPr>
              <w:pStyle w:val="899"/>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横杆</w:t>
            </w:r>
            <w:r/>
          </w:p>
        </w:tc>
        <w:tc>
          <w:tcPr>
            <w:shd w:val="clear" w:color="auto" w:fill="auto"/>
            <w:tcW w:w="0" w:type="auto"/>
            <w:vAlign w:val="center"/>
            <w:textDirection w:val="lrTb"/>
            <w:noWrap w:val="false"/>
          </w:tcPr>
          <w:p>
            <w:pPr>
              <w:jc w:val="left"/>
              <w:widowControl/>
              <w:rPr>
                <w:rFonts w:hint="eastAsia"/>
                <w:color w:val="auto"/>
                <w:u w:val="none"/>
                <w:lang w:eastAsia="zh-CN"/>
              </w:rPr>
            </w:pPr>
            <w:r>
              <w:rPr>
                <w:rFonts w:hint="eastAsia"/>
                <w:color w:val="auto"/>
                <w:u w:val="none"/>
              </w:rPr>
              <w:t xml:space="preserve">立杆不小于:165*4m*4000；横梁不小于:140*4mm*6000；底座法兰板不小于:350*350*12mm；预埋件不小于:350*350*3mm*M20*1200-4</w:t>
            </w:r>
            <w:r>
              <w:rPr>
                <w:rFonts w:hint="eastAsia"/>
                <w:color w:val="auto"/>
                <w:u w:val="none"/>
                <w:lang w:eastAsia="zh-CN"/>
              </w:rPr>
              <w:t xml:space="preserve">；</w:t>
            </w:r>
            <w:r/>
          </w:p>
        </w:tc>
      </w:tr>
      <w:tr>
        <w:trPr/>
        <w:tc>
          <w:tcPr>
            <w:shd w:val="clear" w:color="auto" w:fill="auto"/>
            <w:tcW w:w="0" w:type="auto"/>
            <w:vAlign w:val="center"/>
            <w:textDirection w:val="lrTb"/>
            <w:noWrap/>
          </w:tcPr>
          <w:p>
            <w:pPr>
              <w:pStyle w:val="899"/>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短跑、中长跑AI立柜式一体机（支持100米短跑，400米，800米，1500米，3000米中长跑）</w:t>
            </w:r>
            <w:r/>
          </w:p>
        </w:tc>
        <w:tc>
          <w:tcPr>
            <w:shd w:val="clear" w:color="auto" w:fill="auto"/>
            <w:tcW w:w="0" w:type="auto"/>
            <w:vAlign w:val="center"/>
            <w:textDirection w:val="lrTb"/>
            <w:noWrap w:val="false"/>
          </w:tcPr>
          <w:p>
            <w:pPr>
              <w:rPr>
                <w:rFonts w:hint="eastAsia"/>
                <w:color w:val="auto"/>
                <w:u w:val="none"/>
              </w:rPr>
            </w:pPr>
            <w:r>
              <w:rPr>
                <w:rFonts w:hint="eastAsia"/>
                <w:color w:val="auto"/>
                <w:u w:val="none"/>
              </w:rPr>
              <w:t xml:space="preserve">一、AI</w:t>
            </w:r>
            <w:r>
              <w:rPr>
                <w:rFonts w:hint="eastAsia"/>
                <w:color w:val="auto"/>
                <w:u w:val="none"/>
                <w:lang w:val="en-US" w:eastAsia="zh-CN"/>
              </w:rPr>
              <w:t xml:space="preserve">跑步</w:t>
            </w:r>
            <w:r>
              <w:rPr>
                <w:rFonts w:hint="eastAsia"/>
                <w:color w:val="auto"/>
                <w:u w:val="none"/>
              </w:rPr>
              <w:t xml:space="preserve">分析模块</w:t>
            </w:r>
            <w:r/>
          </w:p>
          <w:p>
            <w:pPr>
              <w:rPr>
                <w:rFonts w:hint="eastAsia"/>
                <w:color w:val="auto"/>
                <w:u w:val="none"/>
              </w:rPr>
            </w:pPr>
            <w:r>
              <w:rPr>
                <w:rFonts w:hint="eastAsia"/>
                <w:color w:val="auto"/>
                <w:u w:val="none"/>
              </w:rPr>
              <w:t xml:space="preserve">1.支持100米跑步测试，支持抢跑、窜道、踩线的违规项识别。</w:t>
            </w:r>
            <w:r/>
          </w:p>
          <w:p>
            <w:pPr>
              <w:rPr>
                <w:rFonts w:hint="eastAsia"/>
                <w:color w:val="auto"/>
                <w:u w:val="none"/>
              </w:rPr>
            </w:pPr>
            <w:r>
              <w:rPr>
                <w:rFonts w:hint="eastAsia"/>
                <w:color w:val="auto"/>
                <w:u w:val="none"/>
              </w:rPr>
              <w:t xml:space="preserve">2.支持在跑道道次上举手人脸识别检录。</w:t>
            </w:r>
            <w:r/>
          </w:p>
          <w:p>
            <w:pPr>
              <w:rPr>
                <w:rFonts w:hint="eastAsia"/>
                <w:color w:val="auto"/>
                <w:u w:val="none"/>
              </w:rPr>
            </w:pPr>
            <w:r>
              <w:rPr>
                <w:rFonts w:hint="eastAsia"/>
                <w:color w:val="auto"/>
                <w:u w:val="none"/>
              </w:rPr>
              <w:t xml:space="preserve">3.跑步测试项目支持上一组跑步过程中开启下一组检录。</w:t>
            </w:r>
            <w:r/>
          </w:p>
          <w:p>
            <w:pPr>
              <w:jc w:val="left"/>
              <w:widowControl/>
              <w:rPr>
                <w:rFonts w:hint="eastAsia"/>
                <w:color w:val="auto"/>
                <w:u w:val="none"/>
              </w:rPr>
            </w:pPr>
            <w:r>
              <w:rPr>
                <w:rFonts w:hint="eastAsia"/>
                <w:color w:val="auto"/>
                <w:u w:val="none"/>
              </w:rPr>
              <w:t xml:space="preserve">▲4.检录过程中，在跑步测试设备屏幕，通过触控操作，能够删除已检录学生。</w:t>
            </w:r>
            <w:r>
              <w:rPr>
                <w:rFonts w:hint="eastAsia" w:ascii="宋体" w:hAnsi="宋体" w:cs="宋体"/>
                <w:color w:val="auto"/>
                <w:sz w:val="20"/>
                <w:szCs w:val="20"/>
                <w:u w:val="none"/>
              </w:rPr>
              <w:t xml:space="preserve">（提供产品功能截图</w:t>
            </w:r>
            <w:r>
              <w:rPr>
                <w:rFonts w:hint="eastAsia" w:ascii="宋体" w:hAnsi="宋体" w:cs="宋体"/>
                <w:color w:val="auto"/>
                <w:sz w:val="20"/>
                <w:szCs w:val="20"/>
                <w:u w:val="none"/>
                <w:lang w:val="en-US" w:eastAsia="zh-CN"/>
              </w:rPr>
              <w:t xml:space="preserve">加盖公章</w:t>
            </w:r>
            <w:r>
              <w:rPr>
                <w:rFonts w:hint="eastAsia" w:ascii="宋体" w:hAnsi="宋体" w:cs="宋体"/>
                <w:color w:val="auto"/>
                <w:sz w:val="20"/>
                <w:szCs w:val="20"/>
                <w:u w:val="none"/>
              </w:rPr>
              <w:t xml:space="preserve">）</w:t>
            </w:r>
            <w:r/>
          </w:p>
          <w:p>
            <w:pPr>
              <w:jc w:val="left"/>
              <w:widowControl/>
              <w:rPr>
                <w:rFonts w:hint="eastAsia"/>
                <w:color w:val="auto"/>
                <w:u w:val="none"/>
              </w:rPr>
            </w:pPr>
            <w:r>
              <w:rPr>
                <w:rFonts w:hint="eastAsia"/>
                <w:color w:val="auto"/>
                <w:u w:val="none"/>
              </w:rPr>
              <w:t xml:space="preserve">▲5.跑步项目发令模式支持测试设备端自动发令，或者教师点击测试设备屏幕发令。</w:t>
            </w:r>
            <w:r>
              <w:rPr>
                <w:rFonts w:hint="eastAsia" w:ascii="宋体" w:hAnsi="宋体" w:cs="宋体"/>
                <w:color w:val="auto"/>
                <w:sz w:val="20"/>
                <w:szCs w:val="20"/>
                <w:u w:val="none"/>
              </w:rPr>
              <w:t xml:space="preserve">（提供产品功能截图</w:t>
            </w:r>
            <w:r>
              <w:rPr>
                <w:rFonts w:hint="eastAsia" w:ascii="宋体" w:hAnsi="宋体" w:cs="宋体"/>
                <w:color w:val="auto"/>
                <w:sz w:val="20"/>
                <w:szCs w:val="20"/>
                <w:u w:val="none"/>
                <w:lang w:val="en-US" w:eastAsia="zh-CN"/>
              </w:rPr>
              <w:t xml:space="preserve">加盖公章</w:t>
            </w:r>
            <w:r>
              <w:rPr>
                <w:rFonts w:hint="eastAsia" w:ascii="宋体" w:hAnsi="宋体" w:cs="宋体"/>
                <w:color w:val="auto"/>
                <w:sz w:val="20"/>
                <w:szCs w:val="20"/>
                <w:u w:val="none"/>
              </w:rPr>
              <w:t xml:space="preserve">）</w:t>
            </w:r>
            <w:r/>
          </w:p>
          <w:p>
            <w:pPr>
              <w:numPr>
                <w:ilvl w:val="0"/>
                <w:numId w:val="18"/>
              </w:numPr>
              <w:rPr>
                <w:rFonts w:hint="eastAsia"/>
                <w:color w:val="auto"/>
                <w:u w:val="none"/>
              </w:rPr>
            </w:pPr>
            <w:r>
              <w:rPr>
                <w:rFonts w:hint="eastAsia"/>
                <w:color w:val="auto"/>
                <w:u w:val="none"/>
              </w:rPr>
              <w:t xml:space="preserve">基于AI视觉分析智能捕捉跑步测试过程视频，自动计算出成绩并上传系统，无需穿戴电子设备或号码服。</w:t>
            </w:r>
            <w:r/>
          </w:p>
          <w:p>
            <w:pPr>
              <w:numPr>
                <w:ilvl w:val="0"/>
                <w:numId w:val="18"/>
              </w:numPr>
              <w:rPr>
                <w:rFonts w:hint="eastAsia"/>
                <w:color w:val="auto"/>
                <w:u w:val="none"/>
              </w:rPr>
            </w:pPr>
            <w:r>
              <w:rPr>
                <w:rFonts w:hint="eastAsia"/>
                <w:color w:val="auto"/>
                <w:u w:val="none"/>
              </w:rPr>
              <w:t xml:space="preserve">跑步测试完成后智能生成项目分析报告，报告能在跑步测试设备直接查看。</w:t>
            </w:r>
            <w:r/>
          </w:p>
          <w:p>
            <w:pPr>
              <w:rPr>
                <w:rFonts w:hint="eastAsia"/>
                <w:color w:val="auto"/>
                <w:u w:val="none"/>
              </w:rPr>
            </w:pPr>
            <w:r>
              <w:rPr>
                <w:rFonts w:hint="eastAsia"/>
                <w:color w:val="auto"/>
                <w:u w:val="none"/>
              </w:rPr>
              <w:t xml:space="preserve">8.跑步报告内容包括但不限于学生信息、跑步成绩、跑步排名、运动参数（起跑反应时间、起跑躯干角、途中跑时间、冲刺速度）、运动曲线、肌群状态、点评与建议。</w:t>
            </w:r>
            <w:r/>
          </w:p>
          <w:p>
            <w:pPr>
              <w:rPr>
                <w:rFonts w:hint="eastAsia"/>
                <w:color w:val="auto"/>
                <w:u w:val="none"/>
              </w:rPr>
            </w:pPr>
            <w:r>
              <w:rPr>
                <w:rFonts w:hint="eastAsia"/>
                <w:color w:val="auto"/>
                <w:u w:val="none"/>
              </w:rPr>
              <w:t xml:space="preserve">9.支持配置国家学生体质健康测试标准，以及支持自定义配置体育考试项目评分标准。</w:t>
            </w:r>
            <w:r/>
          </w:p>
          <w:p>
            <w:pPr>
              <w:rPr>
                <w:rFonts w:hint="eastAsia"/>
                <w:color w:val="auto"/>
                <w:u w:val="none"/>
              </w:rPr>
            </w:pPr>
            <w:r>
              <w:rPr>
                <w:rFonts w:hint="eastAsia"/>
                <w:color w:val="auto"/>
                <w:u w:val="none"/>
              </w:rPr>
              <w:t xml:space="preserve">10.项目产生的未完成记录会进入审核列表，支持修改为有效成绩提交。</w:t>
            </w:r>
            <w:r/>
          </w:p>
          <w:p>
            <w:pPr>
              <w:rPr>
                <w:rFonts w:hint="eastAsia"/>
                <w:color w:val="auto"/>
                <w:u w:val="none"/>
              </w:rPr>
            </w:pPr>
            <w:r>
              <w:rPr>
                <w:rFonts w:hint="eastAsia"/>
                <w:color w:val="auto"/>
                <w:u w:val="none"/>
                <w:lang w:val="en-US" w:eastAsia="zh-CN"/>
              </w:rPr>
              <w:t xml:space="preserve">二</w:t>
            </w:r>
            <w:r>
              <w:rPr>
                <w:rFonts w:hint="eastAsia"/>
                <w:color w:val="auto"/>
                <w:u w:val="none"/>
              </w:rPr>
              <w:t xml:space="preserve">、AI锻炼</w:t>
            </w:r>
            <w:r>
              <w:rPr>
                <w:rFonts w:hint="eastAsia"/>
                <w:color w:val="auto"/>
                <w:u w:val="none"/>
                <w:lang w:val="en-US" w:eastAsia="zh-CN"/>
              </w:rPr>
              <w:t xml:space="preserve">分析</w:t>
            </w:r>
            <w:r>
              <w:rPr>
                <w:rFonts w:hint="eastAsia"/>
                <w:color w:val="auto"/>
                <w:u w:val="none"/>
              </w:rPr>
              <w:t xml:space="preserve">模块</w:t>
            </w:r>
            <w:r/>
          </w:p>
          <w:p>
            <w:pPr>
              <w:rPr>
                <w:rFonts w:hint="eastAsia"/>
                <w:color w:val="auto"/>
                <w:u w:val="none"/>
              </w:rPr>
            </w:pPr>
            <w:r>
              <w:rPr>
                <w:rFonts w:hint="eastAsia"/>
                <w:color w:val="auto"/>
                <w:u w:val="none"/>
              </w:rPr>
              <w:t xml:space="preserve">1.基于AI视觉算法，支持开展体能锻炼、球类训练、AI跟练等多种类型的锻炼项目。</w:t>
            </w:r>
            <w:r/>
          </w:p>
          <w:p>
            <w:pPr>
              <w:rPr>
                <w:rFonts w:hint="eastAsia"/>
                <w:color w:val="auto"/>
                <w:u w:val="none"/>
              </w:rPr>
            </w:pPr>
            <w:r>
              <w:rPr>
                <w:rFonts w:hint="eastAsia"/>
                <w:color w:val="auto"/>
                <w:u w:val="none"/>
              </w:rPr>
              <w:t xml:space="preserve">2.体能锻炼项目支持AI视觉识别与计数，支持的项目数量≥20个。</w:t>
            </w:r>
            <w:r/>
          </w:p>
          <w:p>
            <w:pPr>
              <w:rPr>
                <w:rFonts w:hint="eastAsia"/>
                <w:color w:val="auto"/>
                <w:u w:val="none"/>
                <w:lang w:val="en-US" w:eastAsia="zh-CN"/>
              </w:rPr>
            </w:pPr>
            <w:r>
              <w:rPr>
                <w:rFonts w:hint="eastAsia"/>
                <w:color w:val="auto"/>
                <w:u w:val="none"/>
              </w:rPr>
              <w:t xml:space="preserve">3.体能锻炼项目包括</w:t>
            </w:r>
            <w:r>
              <w:rPr>
                <w:rFonts w:hint="eastAsia"/>
                <w:color w:val="auto"/>
                <w:u w:val="none"/>
                <w:lang w:val="en-US" w:eastAsia="zh-CN"/>
              </w:rPr>
              <w:t xml:space="preserve">多项锻炼项目。</w:t>
            </w:r>
            <w:r/>
          </w:p>
          <w:p>
            <w:pPr>
              <w:rPr>
                <w:rFonts w:hint="eastAsia"/>
                <w:color w:val="auto"/>
                <w:u w:val="none"/>
              </w:rPr>
            </w:pPr>
            <w:r>
              <w:rPr>
                <w:rFonts w:hint="eastAsia"/>
                <w:color w:val="auto"/>
                <w:u w:val="none"/>
              </w:rPr>
              <w:t xml:space="preserve">4.体能锻炼项目具备动作示范视频，支持选择运动时长、多人接龙、校内PK挑战，运动结束后显示运动曲线。</w:t>
            </w:r>
            <w:r/>
          </w:p>
          <w:p>
            <w:pPr>
              <w:rPr>
                <w:rFonts w:hint="eastAsia"/>
                <w:color w:val="auto"/>
                <w:u w:val="none"/>
              </w:rPr>
            </w:pPr>
            <w:r>
              <w:rPr>
                <w:rFonts w:hint="eastAsia"/>
                <w:color w:val="auto"/>
                <w:u w:val="none"/>
              </w:rPr>
              <w:t xml:space="preserve">5.专项训练项目支持AI视觉识别与计数，项目主题包括跳绳、立定跳远、仰卧起坐、引体向上。</w:t>
            </w:r>
            <w:r/>
          </w:p>
          <w:p>
            <w:pPr>
              <w:rPr>
                <w:rFonts w:hint="eastAsia"/>
                <w:color w:val="auto"/>
                <w:u w:val="none"/>
              </w:rPr>
            </w:pPr>
            <w:r>
              <w:rPr>
                <w:rFonts w:hint="eastAsia"/>
                <w:color w:val="auto"/>
                <w:u w:val="none"/>
              </w:rPr>
              <w:t xml:space="preserve">6.球类训练项目支持AI视觉识别与计数，其中足球训练项目≥2项。</w:t>
            </w:r>
            <w:r/>
          </w:p>
          <w:p>
            <w:pPr>
              <w:rPr>
                <w:rFonts w:hint="eastAsia"/>
                <w:color w:val="auto"/>
                <w:u w:val="none"/>
              </w:rPr>
            </w:pPr>
            <w:r>
              <w:rPr>
                <w:rFonts w:hint="eastAsia" w:ascii="宋体" w:hAnsi="宋体" w:cs="宋体"/>
                <w:color w:val="auto"/>
                <w:sz w:val="20"/>
                <w:szCs w:val="20"/>
                <w:u w:val="none"/>
              </w:rPr>
              <w:t xml:space="preserve">★</w:t>
            </w:r>
            <w:r>
              <w:rPr>
                <w:rFonts w:hint="eastAsia"/>
                <w:color w:val="auto"/>
                <w:u w:val="none"/>
              </w:rPr>
              <w:t xml:space="preserve">7.</w:t>
            </w:r>
            <w:r>
              <w:rPr>
                <w:rFonts w:hint="eastAsia"/>
                <w:color w:val="auto"/>
                <w:u w:val="none"/>
                <w:lang w:val="en-US" w:eastAsia="zh-CN"/>
              </w:rPr>
              <w:t xml:space="preserve">为满足省句中“镇江市篮球传统项目学校”校篮球队训练需要，篮球</w:t>
            </w:r>
            <w:r>
              <w:rPr>
                <w:rFonts w:hint="eastAsia"/>
                <w:color w:val="auto"/>
                <w:u w:val="none"/>
              </w:rPr>
              <w:t xml:space="preserve">训练项目</w:t>
            </w:r>
            <w:r>
              <w:rPr>
                <w:rFonts w:hint="eastAsia"/>
                <w:color w:val="auto"/>
                <w:u w:val="none"/>
                <w:lang w:val="en-US" w:eastAsia="zh-CN"/>
              </w:rPr>
              <w:t xml:space="preserve">需</w:t>
            </w:r>
            <w:r>
              <w:rPr>
                <w:rFonts w:hint="eastAsia"/>
                <w:color w:val="auto"/>
                <w:u w:val="none"/>
              </w:rPr>
              <w:t xml:space="preserve">支持AI视觉识别与计数，其中篮球训练项目≥</w:t>
            </w:r>
            <w:r>
              <w:rPr>
                <w:rFonts w:hint="eastAsia"/>
                <w:color w:val="auto"/>
                <w:u w:val="none"/>
                <w:lang w:val="en-US" w:eastAsia="zh-CN"/>
              </w:rPr>
              <w:t xml:space="preserve">4</w:t>
            </w:r>
            <w:r>
              <w:rPr>
                <w:rFonts w:hint="eastAsia"/>
                <w:color w:val="auto"/>
                <w:u w:val="none"/>
              </w:rPr>
              <w:t xml:space="preserve">项。（投标时需提供</w:t>
            </w:r>
            <w:r>
              <w:rPr>
                <w:rFonts w:hint="eastAsia"/>
                <w:color w:val="auto"/>
                <w:u w:val="none"/>
                <w:lang w:val="en-US" w:eastAsia="zh-CN"/>
              </w:rPr>
              <w:t xml:space="preserve">设备功能演示视频证明</w:t>
            </w:r>
            <w:r>
              <w:rPr>
                <w:rFonts w:hint="eastAsia"/>
                <w:color w:val="auto"/>
                <w:u w:val="none"/>
              </w:rPr>
              <w:t xml:space="preserve">）</w:t>
            </w:r>
            <w:r/>
          </w:p>
          <w:p>
            <w:pPr>
              <w:rPr>
                <w:rFonts w:hint="eastAsia"/>
                <w:color w:val="auto"/>
                <w:u w:val="none"/>
              </w:rPr>
            </w:pPr>
            <w:r>
              <w:rPr>
                <w:rFonts w:hint="eastAsia"/>
                <w:color w:val="auto"/>
                <w:u w:val="none"/>
              </w:rPr>
              <w:t xml:space="preserve">8.球类训练项目支持AI视觉识别与计数，其中排球训练项目≥1项。</w:t>
            </w:r>
            <w:r/>
          </w:p>
          <w:p>
            <w:pPr>
              <w:rPr>
                <w:rFonts w:hint="eastAsia"/>
                <w:color w:val="auto"/>
                <w:u w:val="none"/>
              </w:rPr>
            </w:pPr>
            <w:r>
              <w:rPr>
                <w:rFonts w:hint="eastAsia"/>
                <w:color w:val="auto"/>
                <w:u w:val="none"/>
                <w:lang w:val="en-US" w:eastAsia="zh-CN"/>
              </w:rPr>
              <w:t xml:space="preserve">9</w:t>
            </w:r>
            <w:r>
              <w:rPr>
                <w:rFonts w:hint="eastAsia"/>
                <w:color w:val="auto"/>
                <w:u w:val="none"/>
              </w:rPr>
              <w:t xml:space="preserve">.支持多个锻炼项目组成课堂接力，具备动作示范视频和规则示意图。</w:t>
            </w:r>
            <w:r/>
          </w:p>
          <w:p>
            <w:pPr>
              <w:rPr>
                <w:rFonts w:hint="eastAsia"/>
                <w:color w:val="auto"/>
                <w:u w:val="none"/>
              </w:rPr>
            </w:pPr>
            <w:r>
              <w:rPr>
                <w:rFonts w:hint="eastAsia"/>
                <w:color w:val="auto"/>
                <w:u w:val="none"/>
              </w:rPr>
              <w:t xml:space="preserve">1</w:t>
            </w:r>
            <w:r>
              <w:rPr>
                <w:rFonts w:hint="eastAsia"/>
                <w:color w:val="auto"/>
                <w:u w:val="none"/>
                <w:lang w:val="en-US" w:eastAsia="zh-CN"/>
              </w:rPr>
              <w:t xml:space="preserve">0</w:t>
            </w:r>
            <w:r>
              <w:rPr>
                <w:rFonts w:hint="eastAsia"/>
                <w:color w:val="auto"/>
                <w:u w:val="none"/>
              </w:rPr>
              <w:t xml:space="preserve">.支持体育教学微课视频播放，视频数量≥10个，微课主题需至少包括篮球、足球、跳绳、立定跳远、短跑。</w:t>
            </w:r>
            <w:r/>
          </w:p>
          <w:p>
            <w:pPr>
              <w:rPr>
                <w:rFonts w:hint="eastAsia"/>
                <w:color w:val="auto"/>
                <w:u w:val="none"/>
              </w:rPr>
            </w:pPr>
            <w:r>
              <w:rPr>
                <w:rFonts w:hint="eastAsia"/>
                <w:color w:val="auto"/>
                <w:u w:val="none"/>
              </w:rPr>
              <w:t xml:space="preserve">1</w:t>
            </w:r>
            <w:r>
              <w:rPr>
                <w:rFonts w:hint="eastAsia"/>
                <w:color w:val="auto"/>
                <w:u w:val="none"/>
                <w:lang w:val="en-US" w:eastAsia="zh-CN"/>
              </w:rPr>
              <w:t xml:space="preserve">1</w:t>
            </w:r>
            <w:r>
              <w:rPr>
                <w:rFonts w:hint="eastAsia"/>
                <w:color w:val="auto"/>
                <w:u w:val="none"/>
              </w:rPr>
              <w:t xml:space="preserve">.支持体育赛事、健康知识答题、体育常识答题和知识竞赛。</w:t>
            </w:r>
            <w:r/>
          </w:p>
          <w:p>
            <w:pPr>
              <w:rPr>
                <w:rFonts w:hint="eastAsia"/>
                <w:color w:val="auto"/>
                <w:u w:val="none"/>
              </w:rPr>
            </w:pPr>
            <w:r>
              <w:rPr>
                <w:rFonts w:hint="eastAsia"/>
                <w:color w:val="auto"/>
                <w:u w:val="none"/>
              </w:rPr>
              <w:t xml:space="preserve">1</w:t>
            </w:r>
            <w:r>
              <w:rPr>
                <w:rFonts w:hint="eastAsia"/>
                <w:color w:val="auto"/>
                <w:u w:val="none"/>
                <w:lang w:val="en-US" w:eastAsia="zh-CN"/>
              </w:rPr>
              <w:t xml:space="preserve">2</w:t>
            </w:r>
            <w:r>
              <w:rPr>
                <w:rFonts w:hint="eastAsia"/>
                <w:color w:val="auto"/>
                <w:u w:val="none"/>
              </w:rPr>
              <w:t xml:space="preserve">.实时统计月、周各个运动项目不同年级、不同性别学生的运动排名。</w:t>
            </w:r>
            <w:r/>
          </w:p>
          <w:p>
            <w:pPr>
              <w:rPr>
                <w:rFonts w:hint="eastAsia"/>
                <w:color w:val="auto"/>
                <w:u w:val="none"/>
              </w:rPr>
            </w:pPr>
            <w:r>
              <w:rPr>
                <w:rFonts w:hint="eastAsia"/>
                <w:color w:val="auto"/>
                <w:u w:val="none"/>
                <w:lang w:val="en-US" w:eastAsia="zh-CN"/>
              </w:rPr>
              <w:t xml:space="preserve">三</w:t>
            </w:r>
            <w:r>
              <w:rPr>
                <w:rFonts w:hint="eastAsia"/>
                <w:color w:val="auto"/>
                <w:u w:val="none"/>
              </w:rPr>
              <w:t xml:space="preserve">、智能交互模块</w:t>
            </w:r>
            <w:r/>
          </w:p>
          <w:p>
            <w:pPr>
              <w:rPr>
                <w:rFonts w:hint="eastAsia"/>
                <w:color w:val="auto"/>
                <w:u w:val="none"/>
              </w:rPr>
            </w:pPr>
            <w:r>
              <w:rPr>
                <w:rFonts w:hint="eastAsia"/>
                <w:color w:val="auto"/>
                <w:u w:val="none"/>
              </w:rPr>
              <w:t xml:space="preserve">1.设备基于AI视觉技术实现运动过程中的人机智能交互，跑步测试全程通过AI算法模型实现身份认证、运动过程分析和实时计时，无其他辅助设备或人工参与。</w:t>
            </w:r>
            <w:r/>
          </w:p>
          <w:p>
            <w:pPr>
              <w:jc w:val="left"/>
              <w:widowControl/>
              <w:rPr>
                <w:rFonts w:hint="eastAsia" w:ascii="宋体" w:hAnsi="宋体" w:cs="宋体"/>
                <w:color w:val="auto"/>
                <w:sz w:val="20"/>
                <w:szCs w:val="20"/>
                <w:u w:val="none"/>
              </w:rPr>
            </w:pPr>
            <w:r>
              <w:rPr>
                <w:rFonts w:hint="eastAsia"/>
                <w:color w:val="auto"/>
                <w:u w:val="none"/>
              </w:rPr>
              <w:t xml:space="preserve">▲2.设备支持算法和模型完全独立运行，无需依赖额外的GPU服务器。</w:t>
            </w:r>
            <w:r>
              <w:rPr>
                <w:rFonts w:hint="eastAsia" w:ascii="宋体" w:hAnsi="宋体" w:cs="宋体"/>
                <w:color w:val="auto"/>
                <w:sz w:val="20"/>
                <w:szCs w:val="20"/>
                <w:u w:val="none"/>
              </w:rPr>
              <w:t xml:space="preserve">（提供产品功能截图</w:t>
            </w:r>
            <w:r>
              <w:rPr>
                <w:rFonts w:hint="eastAsia" w:ascii="宋体" w:hAnsi="宋体" w:cs="宋体"/>
                <w:color w:val="auto"/>
                <w:sz w:val="20"/>
                <w:szCs w:val="20"/>
                <w:u w:val="none"/>
                <w:lang w:val="en-US" w:eastAsia="zh-CN"/>
              </w:rPr>
              <w:t xml:space="preserve">或产品宣传彩页加盖公章</w:t>
            </w:r>
            <w:r>
              <w:rPr>
                <w:rFonts w:hint="eastAsia" w:ascii="宋体" w:hAnsi="宋体" w:cs="宋体"/>
                <w:color w:val="auto"/>
                <w:sz w:val="20"/>
                <w:szCs w:val="20"/>
                <w:u w:val="none"/>
              </w:rPr>
              <w:t xml:space="preserve">）</w:t>
            </w:r>
            <w:r/>
          </w:p>
          <w:p>
            <w:pPr>
              <w:rPr>
                <w:rFonts w:hint="eastAsia"/>
                <w:color w:val="auto"/>
                <w:u w:val="none"/>
              </w:rPr>
            </w:pPr>
            <w:r>
              <w:rPr>
                <w:rFonts w:hint="eastAsia"/>
                <w:color w:val="auto"/>
                <w:u w:val="none"/>
              </w:rPr>
              <w:t xml:space="preserve">3.设备基于AI视觉算法检测和提取运动目标，实时捕捉人体关节点，实现运动过程中的人体姿态识别。</w:t>
            </w:r>
            <w:r/>
          </w:p>
          <w:p>
            <w:pPr>
              <w:rPr>
                <w:rFonts w:hint="eastAsia"/>
                <w:color w:val="auto"/>
                <w:u w:val="none"/>
              </w:rPr>
            </w:pPr>
            <w:r>
              <w:rPr>
                <w:rFonts w:hint="eastAsia"/>
                <w:color w:val="auto"/>
                <w:u w:val="none"/>
              </w:rPr>
              <w:t xml:space="preserve">4.设备支持智能触显交互，屏幕≥21寸，支持触控，分辨率≥1920×1080。</w:t>
            </w:r>
            <w:r/>
          </w:p>
          <w:p>
            <w:pPr>
              <w:rPr>
                <w:rFonts w:hint="eastAsia"/>
                <w:color w:val="auto"/>
                <w:u w:val="none"/>
              </w:rPr>
            </w:pPr>
            <w:r>
              <w:rPr>
                <w:rFonts w:hint="eastAsia"/>
                <w:color w:val="auto"/>
                <w:u w:val="none"/>
              </w:rPr>
              <w:t xml:space="preserve">5.设备屏幕实时显示学生身份认证界面、测试准备、测试违规、测试成绩。</w:t>
            </w:r>
            <w:r/>
          </w:p>
          <w:p>
            <w:pPr>
              <w:jc w:val="left"/>
              <w:widowControl/>
              <w:rPr>
                <w:rFonts w:hint="eastAsia" w:ascii="宋体" w:hAnsi="宋体" w:cs="宋体"/>
                <w:color w:val="auto"/>
                <w:sz w:val="20"/>
                <w:szCs w:val="20"/>
                <w:u w:val="none"/>
              </w:rPr>
            </w:pPr>
            <w:r>
              <w:rPr>
                <w:rFonts w:hint="eastAsia"/>
                <w:color w:val="auto"/>
                <w:u w:val="none"/>
              </w:rPr>
              <w:t xml:space="preserve">▲6.在跑步测试设备屏幕上查看今日记录，不会导致正在测试项目中断测试。</w:t>
            </w:r>
            <w:r>
              <w:rPr>
                <w:rFonts w:hint="eastAsia" w:ascii="宋体" w:hAnsi="宋体" w:cs="宋体"/>
                <w:color w:val="auto"/>
                <w:sz w:val="20"/>
                <w:szCs w:val="20"/>
                <w:u w:val="none"/>
              </w:rPr>
              <w:t xml:space="preserve">（提供产品功能截图</w:t>
            </w:r>
            <w:r>
              <w:rPr>
                <w:rFonts w:hint="eastAsia" w:ascii="宋体" w:hAnsi="宋体" w:cs="宋体"/>
                <w:color w:val="auto"/>
                <w:sz w:val="20"/>
                <w:szCs w:val="20"/>
                <w:u w:val="none"/>
                <w:lang w:val="en-US" w:eastAsia="zh-CN"/>
              </w:rPr>
              <w:t xml:space="preserve">或产品宣传彩页加盖公章</w:t>
            </w:r>
            <w:r>
              <w:rPr>
                <w:rFonts w:hint="eastAsia" w:ascii="宋体" w:hAnsi="宋体" w:cs="宋体"/>
                <w:color w:val="auto"/>
                <w:sz w:val="20"/>
                <w:szCs w:val="20"/>
                <w:u w:val="none"/>
              </w:rPr>
              <w:t xml:space="preserve">）</w:t>
            </w:r>
            <w:r/>
          </w:p>
          <w:p>
            <w:pPr>
              <w:rPr>
                <w:rFonts w:hint="eastAsia"/>
                <w:color w:val="auto"/>
                <w:u w:val="none"/>
              </w:rPr>
            </w:pPr>
            <w:r>
              <w:rPr>
                <w:rFonts w:hint="eastAsia"/>
                <w:color w:val="auto"/>
                <w:u w:val="none"/>
              </w:rPr>
              <w:t xml:space="preserve">7.设备配置有源防水音响，在检录、发令、成绩播报等环节提供智能引导，音响额定功率≥30W，频率响应100Hz-15KHz（±3db），信噪比＞70db，支架式安装。</w:t>
            </w:r>
            <w:r/>
          </w:p>
          <w:p>
            <w:pPr>
              <w:rPr>
                <w:rFonts w:hint="eastAsia"/>
                <w:color w:val="auto"/>
                <w:u w:val="none"/>
              </w:rPr>
            </w:pPr>
            <w:r>
              <w:rPr>
                <w:rFonts w:hint="eastAsia"/>
                <w:color w:val="auto"/>
                <w:u w:val="none"/>
              </w:rPr>
              <w:t xml:space="preserve">8.设备内置算力模块，处理器≥8核，内存≥4GB，存储≥64GB，主频≥2.0GHz。</w:t>
            </w:r>
            <w:r/>
          </w:p>
          <w:p>
            <w:pPr>
              <w:rPr>
                <w:rFonts w:hint="eastAsia"/>
                <w:color w:val="auto"/>
                <w:u w:val="none"/>
              </w:rPr>
            </w:pPr>
            <w:r>
              <w:rPr>
                <w:rFonts w:hint="eastAsia"/>
                <w:color w:val="auto"/>
                <w:u w:val="none"/>
              </w:rPr>
              <w:t xml:space="preserve">9.设备配置AI摄像机，像素≥800w，有效像素阵列3840（H）×2160（V），镜头尺寸1/1.8，帧率≥30帧，视频编码格式支持H.265、H.264、MJPEG。</w:t>
            </w:r>
            <w:r/>
          </w:p>
          <w:p>
            <w:pPr>
              <w:rPr>
                <w:rFonts w:hint="eastAsia"/>
                <w:color w:val="auto"/>
                <w:u w:val="none"/>
              </w:rPr>
            </w:pPr>
            <w:r>
              <w:rPr>
                <w:rFonts w:hint="eastAsia"/>
                <w:color w:val="auto"/>
                <w:u w:val="none"/>
              </w:rPr>
              <w:t xml:space="preserve">10.AI摄像机内置算力模块，内存≥2GB，存储≥16GB，支持多种主流机器学习框架，能进行人脸识别、目标追踪等AI任务。</w:t>
            </w:r>
            <w:r/>
          </w:p>
          <w:p>
            <w:pPr>
              <w:rPr>
                <w:rFonts w:hint="eastAsia"/>
                <w:color w:val="auto"/>
                <w:u w:val="none"/>
              </w:rPr>
            </w:pPr>
            <w:r>
              <w:rPr>
                <w:rFonts w:hint="eastAsia"/>
                <w:color w:val="auto"/>
                <w:u w:val="none"/>
              </w:rPr>
              <w:t xml:space="preserve">11.设备USB 接口数量≥2，HDMI接口数量≥1，10/100/1000M自适应以太网RJ45网口≥2。</w:t>
            </w:r>
            <w:r/>
          </w:p>
          <w:p>
            <w:pPr>
              <w:rPr>
                <w:rFonts w:ascii="宋体" w:hAnsi="宋体" w:cs="宋体"/>
                <w:color w:val="000000"/>
                <w:sz w:val="20"/>
                <w:szCs w:val="20"/>
                <w:u w:val="none"/>
              </w:rPr>
            </w:pPr>
            <w:r>
              <w:rPr>
                <w:rFonts w:hint="eastAsia"/>
                <w:color w:val="auto"/>
                <w:u w:val="none"/>
              </w:rPr>
              <w:t xml:space="preserve">1</w:t>
            </w:r>
            <w:r>
              <w:rPr>
                <w:rFonts w:hint="eastAsia"/>
                <w:color w:val="auto"/>
                <w:u w:val="none"/>
                <w:lang w:val="en-US" w:eastAsia="zh-CN"/>
              </w:rPr>
              <w:t xml:space="preserve">2</w:t>
            </w:r>
            <w:r>
              <w:rPr>
                <w:rFonts w:hint="eastAsia"/>
                <w:color w:val="auto"/>
                <w:u w:val="none"/>
              </w:rPr>
              <w:t xml:space="preserve">.运动项目支持外部断网使用，测试过程不受外部网络环境波动影响。</w:t>
            </w:r>
            <w:r/>
          </w:p>
        </w:tc>
      </w:tr>
      <w:tr>
        <w:trPr/>
        <w:tc>
          <w:tcPr>
            <w:shd w:val="clear" w:color="auto" w:fill="auto"/>
            <w:tcW w:w="0" w:type="auto"/>
            <w:vAlign w:val="center"/>
            <w:textDirection w:val="lrTb"/>
            <w:noWrap/>
          </w:tcPr>
          <w:p>
            <w:pPr>
              <w:pStyle w:val="899"/>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摄像头</w:t>
            </w:r>
            <w:r/>
          </w:p>
        </w:tc>
        <w:tc>
          <w:tcPr>
            <w:shd w:val="clear" w:color="auto" w:fill="auto"/>
            <w:tcW w:w="0" w:type="auto"/>
            <w:vAlign w:val="center"/>
            <w:textDirection w:val="lrTb"/>
            <w:noWrap w:val="false"/>
          </w:tcPr>
          <w:p>
            <w:pPr>
              <w:jc w:val="left"/>
              <w:widowControl/>
              <w:rPr>
                <w:rFonts w:ascii="宋体" w:hAnsi="宋体" w:cs="宋体"/>
                <w:color w:val="000000"/>
                <w:sz w:val="21"/>
                <w:szCs w:val="21"/>
                <w:u w:val="none"/>
              </w:rPr>
            </w:pPr>
            <w:r>
              <w:rPr>
                <w:rFonts w:hint="eastAsia" w:ascii="宋体" w:hAnsi="宋体" w:cs="宋体"/>
                <w:color w:val="000000"/>
                <w:sz w:val="21"/>
                <w:szCs w:val="21"/>
                <w:u w:val="none"/>
              </w:rPr>
              <w:t xml:space="preserve">像素：≥800万像素；分辨率：≥1080p；供电方式：支持POE供电及电源供电12V；供网方式：网线；接口类型：网线接口；编码方式：H.265/H.264支持变焦，6mm焦距视频帧率:50Hz：主码流（3840×2160@25fps），辅码流（704×576@25fps），第三码流（1920×1080@25fps），第四码流（704×576@25fps），第五码流（704×576@25fps）</w:t>
            </w:r>
            <w:r/>
          </w:p>
        </w:tc>
      </w:tr>
      <w:tr>
        <w:trPr/>
        <w:tc>
          <w:tcPr>
            <w:shd w:val="clear" w:color="auto" w:fill="auto"/>
            <w:tcW w:w="0" w:type="auto"/>
            <w:vAlign w:val="center"/>
            <w:textDirection w:val="lrTb"/>
            <w:noWrap/>
          </w:tcPr>
          <w:p>
            <w:pPr>
              <w:pStyle w:val="899"/>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数字LED标识标牌</w:t>
            </w:r>
            <w:r/>
          </w:p>
        </w:tc>
        <w:tc>
          <w:tcPr>
            <w:shd w:val="clear" w:color="auto" w:fill="auto"/>
            <w:tcW w:w="0" w:type="auto"/>
            <w:vAlign w:val="center"/>
            <w:textDirection w:val="lrTb"/>
            <w:noWrap w:val="false"/>
          </w:tcPr>
          <w:p>
            <w:pPr>
              <w:jc w:val="left"/>
              <w:widowControl/>
              <w:rPr>
                <w:rFonts w:ascii="宋体" w:hAnsi="宋体" w:cs="宋体"/>
                <w:color w:val="000000"/>
                <w:sz w:val="21"/>
                <w:szCs w:val="21"/>
                <w:u w:val="none"/>
              </w:rPr>
            </w:pPr>
            <w:r>
              <w:rPr>
                <w:rFonts w:hint="eastAsia" w:ascii="宋体" w:hAnsi="宋体" w:cs="宋体"/>
                <w:color w:val="000000"/>
                <w:sz w:val="21"/>
                <w:szCs w:val="21"/>
                <w:u w:val="none"/>
              </w:rPr>
              <w:t xml:space="preserve">1.像素点间距：≤4mm；</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2.箱体材质：镀锌板；</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3.整机显示尺寸不低于：1600*960mm；</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4.箱体厚度：≥120mm；</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5.箱体重量：＜65kg/箱；</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6.驱动方式：恒流驱动；</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7.箱体分辨率不低于：400*240；</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8.亮度：≥5000cd/㎡；</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9.亮度均匀性：＞0.97；</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10.屏幕水平视角：≥160度；</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11.屏幕垂直视角：≥140度；</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12.灰度等级：红.绿.蓝各16bits；13.换帧频率：≥60帧/秒；14.刷新频率：≥3840Hz；15.色温：3000K-10000K可调；</w:t>
            </w:r>
            <w:r/>
          </w:p>
        </w:tc>
      </w:tr>
      <w:tr>
        <w:trPr/>
        <w:tc>
          <w:tcPr>
            <w:shd w:val="clear" w:color="auto" w:fill="auto"/>
            <w:tcW w:w="0" w:type="auto"/>
            <w:vAlign w:val="center"/>
            <w:textDirection w:val="lrTb"/>
            <w:noWrap/>
          </w:tcPr>
          <w:p>
            <w:pPr>
              <w:pStyle w:val="899"/>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发令台</w:t>
            </w:r>
            <w:r/>
          </w:p>
        </w:tc>
        <w:tc>
          <w:tcPr>
            <w:shd w:val="clear" w:color="auto" w:fill="auto"/>
            <w:tcW w:w="0" w:type="auto"/>
            <w:vAlign w:val="center"/>
            <w:textDirection w:val="lrTb"/>
            <w:noWrap w:val="false"/>
          </w:tcPr>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发令台参数：设计为可移动式，产品尺寸总高245cm±10cm，台阶长64cm±6cm宽62cm±4cm，第一层台高22cm±1cm，第二层台高是25cm±1cm，箱体低端 不少于2 个固定底座，不少于2 个带轮底座，台阶式。发令台主要由底架和推手柄组成，底架用方管焊接而成，推手柄采用圆管制作；产品为两层踏步结构。烟屏外径规格不小于 35 厘米， 采用轻质金属材料制作， 烟屏支架采用管材制作，支架可插入发令台插管，烟屏可依据发令员手臂长度调节高度。</w:t>
            </w:r>
            <w:r/>
          </w:p>
        </w:tc>
      </w:tr>
      <w:tr>
        <w:trPr/>
        <w:tc>
          <w:tcPr>
            <w:shd w:val="clear" w:color="auto" w:fill="auto"/>
            <w:tcW w:w="0" w:type="auto"/>
            <w:vAlign w:val="center"/>
            <w:textDirection w:val="lrTb"/>
            <w:noWrap/>
          </w:tcPr>
          <w:p>
            <w:pPr>
              <w:pStyle w:val="899"/>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AI体育系统</w:t>
            </w:r>
            <w:r/>
          </w:p>
        </w:tc>
        <w:tc>
          <w:tcPr>
            <w:shd w:val="clear" w:color="auto" w:fill="auto"/>
            <w:tcW w:w="0" w:type="auto"/>
            <w:vAlign w:val="center"/>
            <w:textDirection w:val="lrTb"/>
            <w:noWrap w:val="false"/>
          </w:tcPr>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一、基础管理功能</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1.平台整合智慧体育锻炼数据、智慧体育测试数据，总体呈现学生人数、运动时长和测试次数。</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2.平台支持班级管理、学生管理、账号管理、屏保管理，用户可创建班级、批量导入基础信息、设置账号角色和权限。</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二、体育锻炼管理</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1.平台支持校内体育锻炼管理、校外体育锻炼管理和赛事管理。</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2.校内体育锻炼管理支持学校数据、年级数据、班级数据的概览，提供运动记录、运动排行的查询。</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3.校内体锻的学校数据、年级数据和班级数据支持按学年或日期查询，可视化呈现运动人数、男女运动比例、运动总时长等信息。</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4.校内体锻支持按学年、年级、项目查询学生运动记录，运动记录可导出、可删除。</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▲5.校内体锻支持按学年、日期、年级查询运动排行，可查询的项目≥40个。（提供产品功能截图</w:t>
            </w:r>
            <w:r>
              <w:rPr>
                <w:rFonts w:hint="eastAsia" w:ascii="宋体" w:hAnsi="宋体" w:cs="宋体"/>
                <w:color w:val="000000"/>
                <w:sz w:val="21"/>
                <w:szCs w:val="21"/>
                <w:u w:val="none"/>
                <w:lang w:val="en-US" w:eastAsia="zh-CN"/>
              </w:rPr>
              <w:t xml:space="preserve">加盖公章</w:t>
            </w:r>
            <w:r>
              <w:rPr>
                <w:rFonts w:hint="eastAsia" w:ascii="宋体" w:hAnsi="宋体" w:cs="宋体"/>
                <w:color w:val="000000"/>
                <w:sz w:val="21"/>
                <w:szCs w:val="21"/>
                <w:u w:val="none"/>
              </w:rPr>
              <w:t xml:space="preserve">）</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6.校外体锻的学校数据支持按学年查询，可视化呈现运动人数、男女运动比例、运动总时长等信息。</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7.校外体锻支持按学年、年级、班级查询运动记录，记录呈现每一位运动者的运动总时长、日均运动时长，记录可导出。</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8.校外体锻支持查询运动排行，具备作业管理功能。</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9.赛事管理可增加赛事，对已有赛事进行编辑，查询赛事记录。</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三、体育测试管理</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1.平台支持年级、班级、学生的体测数据管理，体测记录、成绩、排行的查询，以及测试计划管理。</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2.体测的学校数据支持按学年、日期、模式查询，可视化呈现测试人数、成绩合格率、成绩平均分、各年级测试人数、各年级成绩合格率、各年级平均分、各年级男女平均分，以及分年级查看男生或女生的各项目平均分与等级。</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3.体测的年级、班级、学生数据支持按学年、日期、模式、年级、性别等条件查询成绩，成绩可导出。</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4.平台能够可视化呈现班级概览数据，数据包括测试人数、成绩合格率、成绩平均分、各项目平均分与等级。</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5.平台能够可视化呈现学生概览数据，数据包括成绩合格率、成绩平均分、班级排名、年级排名、各项目平均分、各项目成绩详情。</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6.平台能够查看≥10个测试项目成绩报告，AI智能分析运动过程，报告包含测试成绩、成绩等级分布、成绩记录、肌群状态、点评与建议。</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7.体测记录管理支持查询记录、删除记录、记录导出、批量导入记录、成绩设置为有效或无效。</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8.体测成绩管理可按不同评分标准查询成绩，以及查看测试报告和视频。成绩可按学生或项目导出。</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9.体测排行管理支持≥10个测试项目的排行查询。</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10.测试计划创建能够选择国家体质健康标准，设置测试名称、日期、年级、班级等信息，已创建的计划可编辑或删除。</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11.测试计划可查看总测试人数、各班级完成测试人数、各项目测试进度及平均分，支持免考设置和成绩导出。</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四、体育教学管理</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1.平台支持课堂教学管理、课程设置管理与教学视频管理。</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2.课堂教学管理支持用户按学年、日期、项目、年级、班级、性别查看学生在各项目的成绩情况。</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3.课程设置管理支持用户创建AI运动课程，系统提供</w:t>
            </w:r>
            <w:r>
              <w:rPr>
                <w:rFonts w:hint="eastAsia" w:ascii="宋体" w:hAnsi="宋体" w:cs="宋体"/>
                <w:color w:val="000000"/>
                <w:sz w:val="21"/>
                <w:szCs w:val="21"/>
                <w:u w:val="none"/>
                <w:lang w:val="en-US" w:eastAsia="zh-CN"/>
              </w:rPr>
              <w:t xml:space="preserve">多个</w:t>
            </w:r>
            <w:r>
              <w:rPr>
                <w:rFonts w:hint="eastAsia" w:ascii="宋体" w:hAnsi="宋体" w:cs="宋体"/>
                <w:color w:val="000000"/>
                <w:sz w:val="21"/>
                <w:szCs w:val="21"/>
                <w:u w:val="none"/>
              </w:rPr>
              <w:t xml:space="preserve">动作供用户选择</w:t>
            </w:r>
            <w:r>
              <w:rPr>
                <w:rFonts w:hint="eastAsia" w:ascii="宋体" w:hAnsi="宋体" w:cs="宋体"/>
                <w:color w:val="000000"/>
                <w:sz w:val="21"/>
                <w:szCs w:val="21"/>
                <w:u w:val="none"/>
                <w:lang w:eastAsia="zh-CN"/>
              </w:rPr>
              <w:t xml:space="preserve">，</w:t>
            </w:r>
            <w:r>
              <w:rPr>
                <w:rFonts w:hint="eastAsia" w:ascii="宋体" w:hAnsi="宋体" w:cs="宋体"/>
                <w:color w:val="000000"/>
                <w:sz w:val="21"/>
                <w:szCs w:val="21"/>
                <w:u w:val="none"/>
              </w:rPr>
              <w:t xml:space="preserve">用户可设置课程适合学段、每组训练动作、每个动作时间、组循环次数、组间休息时间。</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4.教学视频管理支持用户上传自有视频，并对视频进行标签。</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五、体育赛事管理</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1.支持用户选择AI体育设备并创建比赛，比赛创建内容包括比赛时间、比赛项目、设备端显示的排名类型。</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2.用户在比赛创建时，支持用户选择设备端展示最佳成绩（校级个人排名、校级男女排名、年级男女排名），以及累计成绩（校级个人累计排名、校级男女累计排名、年级男女累计排名和班级累计排名）。</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3.支持用户根据学年、设备、项目、比赛状态等条件筛选已创建的比赛。</w:t>
            </w:r>
            <w:r/>
          </w:p>
          <w:p>
            <w:pPr>
              <w:jc w:val="left"/>
              <w:widowControl/>
              <w:rPr>
                <w:rFonts w:hint="eastAsia" w:ascii="宋体" w:hAnsi="宋体" w:cs="宋体"/>
                <w:color w:val="000000"/>
                <w:sz w:val="21"/>
                <w:szCs w:val="21"/>
                <w:u w:val="none"/>
                <w:lang w:val="en-US" w:eastAsia="zh-CN"/>
              </w:rPr>
            </w:pPr>
            <w:r>
              <w:rPr>
                <w:rFonts w:hint="eastAsia" w:ascii="宋体" w:hAnsi="宋体" w:cs="宋体"/>
                <w:color w:val="000000"/>
                <w:sz w:val="21"/>
                <w:szCs w:val="21"/>
                <w:u w:val="none"/>
              </w:rPr>
              <w:t xml:space="preserve">4.每一个比赛支持查看比赛排行、比赛记录和参赛次数，以上数据支持导出。</w:t>
            </w:r>
            <w:r/>
          </w:p>
        </w:tc>
      </w:tr>
      <w:tr>
        <w:trPr/>
        <w:tc>
          <w:tcPr>
            <w:shd w:val="clear" w:color="auto" w:fill="auto"/>
            <w:tcW w:w="0" w:type="auto"/>
            <w:vAlign w:val="center"/>
            <w:textDirection w:val="lrTb"/>
            <w:noWrap/>
          </w:tcPr>
          <w:p>
            <w:pPr>
              <w:pStyle w:val="899"/>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跨栏架</w:t>
            </w:r>
            <w:r/>
          </w:p>
        </w:tc>
        <w:tc>
          <w:tcPr>
            <w:shd w:val="clear" w:color="auto" w:fill="auto"/>
            <w:tcW w:w="0" w:type="auto"/>
            <w:vAlign w:val="center"/>
            <w:textDirection w:val="lrTb"/>
            <w:noWrap w:val="false"/>
          </w:tcPr>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跨栏架、1．跨栏架由底部方管、竖向立管、伸缩管、调高定位销及上沿跨栏板等组成。2．栏板为ABS成型材料，其规格为：1100×70×20（mm）（允许3%以内的偏离）。3．跨栏架可调高度为：762-840-914-1000-1067mm（允许2%以内的偏离），共五档。4．竖向立管为直径32</w:t>
            </w:r>
            <w:r>
              <w:rPr>
                <w:rFonts w:hint="eastAsia" w:ascii="宋体" w:hAnsi="宋体" w:cs="宋体"/>
                <w:color w:val="000000"/>
                <w:sz w:val="21"/>
                <w:szCs w:val="21"/>
                <w:u w:val="none"/>
                <w:lang w:val="en-US" w:eastAsia="zh-CN"/>
              </w:rPr>
              <w:t xml:space="preserve">mm</w:t>
            </w:r>
            <w:r>
              <w:rPr>
                <w:rFonts w:hint="eastAsia" w:ascii="宋体" w:hAnsi="宋体" w:cs="宋体"/>
                <w:color w:val="000000"/>
                <w:sz w:val="21"/>
                <w:szCs w:val="21"/>
                <w:u w:val="none"/>
              </w:rPr>
              <w:t xml:space="preserve">的圆管；底部方管不小于：40×40mm。5. 竖向立管内置调高定位销，伸缩管上配置有与其所需高度相对应的高度定位孔，调高灵活，定位准确，锁紧可靠、</w:t>
            </w:r>
            <w:r/>
          </w:p>
        </w:tc>
      </w:tr>
      <w:tr>
        <w:trPr/>
        <w:tc>
          <w:tcPr>
            <w:shd w:val="clear" w:color="auto" w:fill="auto"/>
            <w:tcW w:w="0" w:type="auto"/>
            <w:vAlign w:val="center"/>
            <w:textDirection w:val="lrTb"/>
            <w:noWrap/>
          </w:tcPr>
          <w:p>
            <w:pPr>
              <w:pStyle w:val="899"/>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室外乒乓球桌</w:t>
            </w:r>
            <w:r/>
          </w:p>
        </w:tc>
        <w:tc>
          <w:tcPr>
            <w:shd w:val="clear" w:color="auto" w:fill="auto"/>
            <w:tcW w:w="0" w:type="auto"/>
            <w:vAlign w:val="center"/>
            <w:textDirection w:val="lrTb"/>
            <w:noWrap w:val="false"/>
          </w:tcPr>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产品的主要技术参数</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1、球台采用SMC乒乓球台面，由SMC片状模塑料整体高温模压一次成型；</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台板背面采用米字型与井字型相结合结构的加强筋来增强台面的强度和耐撞击性；3、台面边沿四周画有白线，宽度20mm，台面中间画有细白线，宽3mm，台板能承受足够的静载荷，稳定性好，耐气候性强、耐老化程度高，防腐、防晒、防雨、阻燃、不易变形等；</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lang w:val="en-US" w:eastAsia="zh-CN"/>
              </w:rPr>
              <w:t xml:space="preserve">4、</w:t>
            </w:r>
            <w:r>
              <w:rPr>
                <w:rFonts w:hint="eastAsia" w:ascii="宋体" w:hAnsi="宋体" w:cs="宋体"/>
                <w:color w:val="000000"/>
                <w:sz w:val="21"/>
                <w:szCs w:val="21"/>
                <w:u w:val="none"/>
              </w:rPr>
              <w:t xml:space="preserve">底架采用彩虹腿设计结构，彩虹管主要采用碳素钢管φ60×3mm，并用50×25×3mm支撑钢管连接球台整体支架，球台面支撑框架主要采用30×20×2mm碳素钢管，球台面采用两块1525×1370mmSMC材料拼接而成 ；</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lang w:val="en-US" w:eastAsia="zh-CN"/>
              </w:rPr>
              <w:t xml:space="preserve">5、</w:t>
            </w:r>
            <w:r>
              <w:rPr>
                <w:rFonts w:hint="eastAsia" w:ascii="宋体" w:hAnsi="宋体" w:cs="宋体"/>
                <w:color w:val="000000"/>
                <w:sz w:val="21"/>
                <w:szCs w:val="21"/>
                <w:u w:val="none"/>
              </w:rPr>
              <w:t xml:space="preserve">球台网及网架采用不锈钢钢管和不锈钢钢网，防锈、防松、防盗、防损环。网架高度146mm；</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lang w:val="en-US" w:eastAsia="zh-CN"/>
              </w:rPr>
              <w:t xml:space="preserve">6、</w:t>
            </w:r>
            <w:r>
              <w:rPr>
                <w:rFonts w:hint="eastAsia" w:ascii="宋体" w:hAnsi="宋体" w:cs="宋体"/>
                <w:color w:val="000000"/>
                <w:sz w:val="21"/>
                <w:szCs w:val="21"/>
                <w:u w:val="none"/>
              </w:rPr>
              <w:t xml:space="preserve">可移动室外乒乓桌；</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7、紧固件材质为不锈钢，具有防盗.防锈.防松功能，需专用工具方可拆卸；</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8、器材安全警示采用图示方式提示使用者可能存在风险。表面处理所有钢制件表面均经酸洗或喷丸、磷化等初级处理后在自动喷涂线上采用静电环氧基粉末喷涂完成最后表面处理，涂层厚度60—130um，铅笔硬度达3H+，试品经36小时盐雾试验，涂膜无变化，划格处单面腐蚀＜2mm，产品具有耐酸碱、耐湿热、抗老化、外观美观等优点，能适合潮湿和酸雨环境，且产品涂料配方不含有毒元素，避免损害使用者的健康。</w:t>
            </w:r>
            <w:r/>
          </w:p>
        </w:tc>
      </w:tr>
      <w:tr>
        <w:trPr/>
        <w:tc>
          <w:tcPr>
            <w:shd w:val="clear" w:color="auto" w:fill="auto"/>
            <w:tcW w:w="0" w:type="auto"/>
            <w:vAlign w:val="center"/>
            <w:textDirection w:val="lrTb"/>
            <w:noWrap/>
          </w:tcPr>
          <w:p>
            <w:pPr>
              <w:pStyle w:val="899"/>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设备调试</w:t>
            </w:r>
            <w:r/>
          </w:p>
        </w:tc>
        <w:tc>
          <w:tcPr>
            <w:shd w:val="clear" w:color="auto" w:fill="auto"/>
            <w:tcW w:w="0" w:type="auto"/>
            <w:vAlign w:val="center"/>
            <w:textDirection w:val="lrTb"/>
            <w:noWrap w:val="false"/>
          </w:tcPr>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提供所有产品的技术支持，产品品质和调试，所有产品不负责基础施工。</w:t>
            </w:r>
            <w:r/>
          </w:p>
        </w:tc>
      </w:tr>
      <w:tr>
        <w:trPr/>
        <w:tc>
          <w:tcPr>
            <w:shd w:val="clear" w:color="auto" w:fill="auto"/>
            <w:tcW w:w="0" w:type="auto"/>
            <w:vAlign w:val="center"/>
            <w:textDirection w:val="lrTb"/>
            <w:noWrap/>
          </w:tcPr>
          <w:p>
            <w:pPr>
              <w:pStyle w:val="899"/>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操场施工</w:t>
            </w:r>
            <w:r/>
          </w:p>
        </w:tc>
        <w:tc>
          <w:tcPr>
            <w:shd w:val="clear" w:color="auto" w:fill="auto"/>
            <w:tcW w:w="0" w:type="auto"/>
            <w:vAlign w:val="center"/>
            <w:textDirection w:val="lrTb"/>
            <w:noWrap w:val="false"/>
          </w:tcPr>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开地槽，预埋电线、网线，挖坑、预埋地笼等，需吊车等等室外设备施工</w:t>
            </w:r>
            <w:bookmarkEnd w:id="379"/>
            <w:r/>
            <w:r/>
          </w:p>
        </w:tc>
      </w:tr>
    </w:tbl>
    <w:p>
      <w:pPr>
        <w:pStyle w:val="899"/>
        <w:ind w:left="0" w:firstLine="241"/>
        <w:rPr>
          <w:rFonts w:ascii="宋体" w:hAnsi="宋体" w:cs="宋体"/>
          <w:b/>
          <w:bCs/>
          <w:color w:val="000000" w:themeColor="text1"/>
          <w:sz w:val="24"/>
          <w:u w:val="none"/>
          <w:lang w:bidi="ar"/>
        </w:rPr>
      </w:pPr>
      <w:r>
        <w:rPr>
          <w:rFonts w:ascii="宋体" w:hAnsi="宋体" w:cs="宋体"/>
          <w:b/>
          <w:bCs/>
          <w:color w:val="000000" w:themeColor="text1"/>
          <w:sz w:val="24"/>
          <w:u w:val="none"/>
          <w:lang w:bidi="ar"/>
        </w:rPr>
      </w:r>
      <w:r/>
    </w:p>
    <w:p>
      <w:pPr>
        <w:pStyle w:val="899"/>
        <w:ind w:left="0" w:firstLine="241"/>
        <w:rPr>
          <w:rFonts w:ascii="宋体" w:hAnsi="宋体" w:cs="宋体"/>
          <w:b/>
          <w:bCs/>
          <w:color w:val="000000" w:themeColor="text1"/>
          <w:sz w:val="24"/>
          <w:u w:val="none"/>
          <w:lang w:bidi="ar"/>
        </w:rPr>
      </w:pPr>
      <w:r>
        <w:rPr>
          <w:rFonts w:hint="eastAsia" w:ascii="宋体" w:hAnsi="宋体" w:cs="宋体"/>
          <w:b/>
          <w:bCs/>
          <w:color w:val="000000" w:themeColor="text1"/>
          <w:sz w:val="24"/>
          <w:u w:val="none"/>
          <w:lang w:bidi="ar"/>
        </w:rPr>
        <w:t xml:space="preserve">注：</w:t>
      </w:r>
      <w:r>
        <w:rPr>
          <w:rFonts w:ascii="宋体" w:hAnsi="宋体" w:cs="宋体"/>
          <w:b/>
          <w:bCs/>
          <w:color w:val="000000" w:themeColor="text1"/>
          <w:sz w:val="24"/>
          <w:u w:val="none"/>
          <w:lang w:bidi="ar"/>
        </w:rPr>
        <w:t xml:space="preserve">供应商中标后一周内携带证书原件和产品实物现场验证</w:t>
      </w:r>
      <w:r>
        <w:rPr>
          <w:rFonts w:hint="eastAsia" w:ascii="宋体" w:hAnsi="宋体" w:cs="宋体"/>
          <w:b/>
          <w:bCs/>
          <w:color w:val="000000" w:themeColor="text1"/>
          <w:sz w:val="24"/>
          <w:u w:val="none"/>
          <w:lang w:bidi="ar"/>
        </w:rPr>
        <w:t xml:space="preserve">证书</w:t>
      </w:r>
      <w:r>
        <w:rPr>
          <w:rFonts w:ascii="宋体" w:hAnsi="宋体" w:cs="宋体"/>
          <w:b/>
          <w:bCs/>
          <w:color w:val="000000" w:themeColor="text1"/>
          <w:sz w:val="24"/>
          <w:u w:val="none"/>
          <w:lang w:bidi="ar"/>
        </w:rPr>
        <w:t xml:space="preserve">和视频</w:t>
      </w:r>
      <w:r>
        <w:rPr>
          <w:rFonts w:hint="eastAsia" w:ascii="宋体" w:hAnsi="宋体" w:cs="宋体"/>
          <w:b/>
          <w:bCs/>
          <w:color w:val="000000" w:themeColor="text1"/>
          <w:sz w:val="24"/>
          <w:u w:val="none"/>
          <w:lang w:bidi="ar"/>
        </w:rPr>
        <w:t xml:space="preserve">的</w:t>
      </w:r>
      <w:r>
        <w:rPr>
          <w:rFonts w:ascii="宋体" w:hAnsi="宋体" w:cs="宋体"/>
          <w:b/>
          <w:bCs/>
          <w:color w:val="000000" w:themeColor="text1"/>
          <w:sz w:val="24"/>
          <w:u w:val="none"/>
          <w:lang w:bidi="ar"/>
        </w:rPr>
        <w:t xml:space="preserve">真实性。</w:t>
      </w:r>
      <w:r/>
    </w:p>
    <w:p>
      <w:pPr>
        <w:ind w:firstLine="480"/>
        <w:spacing w:line="360" w:lineRule="auto"/>
        <w:rPr>
          <w:rFonts w:cs="黑体"/>
          <w:b/>
          <w:bCs/>
          <w:color w:val="000000" w:themeColor="text1"/>
          <w:sz w:val="24"/>
          <w:szCs w:val="28"/>
          <w:u w:val="none"/>
        </w:rPr>
      </w:pPr>
      <w:r>
        <w:rPr>
          <w:rFonts w:hint="eastAsia"/>
          <w:b/>
          <w:bCs/>
          <w:color w:val="000000" w:themeColor="text1"/>
          <w:sz w:val="24"/>
          <w:szCs w:val="28"/>
          <w:u w:val="none"/>
        </w:rPr>
        <w:t xml:space="preserve">★四、</w:t>
      </w:r>
      <w:r>
        <w:rPr>
          <w:rFonts w:hint="eastAsia" w:cs="宋体"/>
          <w:b/>
          <w:bCs/>
          <w:color w:val="000000" w:themeColor="text1"/>
          <w:sz w:val="24"/>
          <w:szCs w:val="28"/>
          <w:u w:val="none"/>
        </w:rPr>
        <w:t xml:space="preserve">商务要求</w:t>
      </w:r>
      <w:r>
        <w:rPr>
          <w:rFonts w:hint="eastAsia" w:ascii="宋体" w:hAnsi="宋体" w:cs="宋体"/>
          <w:color w:val="000000" w:themeColor="text1"/>
          <w:sz w:val="24"/>
          <w:szCs w:val="32"/>
          <w:u w:val="none"/>
        </w:rPr>
        <w:t xml:space="preserve">▲</w:t>
      </w:r>
      <w:r/>
    </w:p>
    <w:p>
      <w:pPr>
        <w:pStyle w:val="861"/>
        <w:ind w:firstLine="200"/>
        <w:spacing w:line="360" w:lineRule="auto"/>
        <w:rPr>
          <w:color w:val="000000" w:themeColor="text1"/>
          <w:u w:val="none"/>
        </w:rPr>
      </w:pPr>
      <w:r>
        <w:rPr>
          <w:color w:val="000000" w:themeColor="text1"/>
          <w:u w:val="none"/>
        </w:rPr>
        <w:t xml:space="preserve">1</w:t>
      </w:r>
      <w:r>
        <w:rPr>
          <w:rFonts w:ascii="宋体" w:hAnsi="宋体" w:eastAsia="宋体" w:cs="宋体"/>
          <w:color w:val="000000" w:themeColor="text1"/>
          <w:u w:val="none"/>
        </w:rPr>
        <w:t xml:space="preserve">、质保期：</w:t>
      </w:r>
      <w:r>
        <w:rPr>
          <w:rFonts w:hint="eastAsia" w:eastAsia="宋体"/>
          <w:color w:val="000000" w:themeColor="text1"/>
          <w:u w:val="none"/>
        </w:rPr>
        <w:t xml:space="preserve">1</w:t>
      </w:r>
      <w:r>
        <w:rPr>
          <w:rFonts w:ascii="宋体" w:hAnsi="宋体" w:eastAsia="宋体" w:cs="宋体"/>
          <w:color w:val="000000" w:themeColor="text1"/>
          <w:u w:val="none"/>
        </w:rPr>
        <w:t xml:space="preserve">年免费质保。（自验收合格之日起算）质保期内应免费提供技术服务，技术服务包括系统的维护、维修（包括更换仪器及零配件等）和技术支持，终身支持进行必要的软件升级。在质保期内，供货方应对由于设计、工艺或材料的缺陷所发生的任何不足或故障负责，所需费用由供货方承担。</w:t>
      </w:r>
      <w:r/>
    </w:p>
    <w:p>
      <w:pPr>
        <w:pStyle w:val="861"/>
        <w:ind w:firstLine="200"/>
        <w:spacing w:line="360" w:lineRule="auto"/>
        <w:rPr>
          <w:color w:val="000000" w:themeColor="text1"/>
          <w:u w:val="none"/>
        </w:rPr>
      </w:pPr>
      <w:r>
        <w:rPr>
          <w:color w:val="000000" w:themeColor="text1"/>
          <w:u w:val="none"/>
        </w:rPr>
        <w:t xml:space="preserve">2</w:t>
      </w:r>
      <w:r>
        <w:rPr>
          <w:rFonts w:ascii="宋体" w:hAnsi="宋体" w:eastAsia="宋体" w:cs="宋体"/>
          <w:color w:val="000000" w:themeColor="text1"/>
          <w:u w:val="none"/>
        </w:rPr>
        <w:t xml:space="preserve">、质保期内所有因更换或修理货物或部件而导致停止运行的时间应从其质保期内扣除；供货方在质保期内安装的任何零配件，必须是其投标设备生产制造厂商原产的或是经其认可的。</w:t>
      </w:r>
      <w:r/>
    </w:p>
    <w:p>
      <w:pPr>
        <w:pStyle w:val="861"/>
        <w:ind w:firstLine="200"/>
        <w:spacing w:line="360" w:lineRule="auto"/>
        <w:rPr>
          <w:color w:val="000000" w:themeColor="text1"/>
          <w:u w:val="none"/>
        </w:rPr>
      </w:pPr>
      <w:r>
        <w:rPr>
          <w:color w:val="000000" w:themeColor="text1"/>
          <w:u w:val="none"/>
        </w:rPr>
        <w:t xml:space="preserve">3</w:t>
      </w:r>
      <w:r>
        <w:rPr>
          <w:rFonts w:ascii="宋体" w:hAnsi="宋体" w:eastAsia="宋体" w:cs="宋体"/>
          <w:color w:val="000000" w:themeColor="text1"/>
          <w:u w:val="none"/>
        </w:rPr>
        <w:t xml:space="preserve">、在质保期内，供货方有责任解决所销售设备和软件系统的任何问题。</w:t>
      </w:r>
      <w:r/>
    </w:p>
    <w:p>
      <w:pPr>
        <w:pStyle w:val="861"/>
        <w:ind w:firstLine="200"/>
        <w:spacing w:line="360" w:lineRule="auto"/>
        <w:rPr>
          <w:color w:val="000000" w:themeColor="text1"/>
          <w:u w:val="none"/>
        </w:rPr>
      </w:pPr>
      <w:r>
        <w:rPr>
          <w:color w:val="000000" w:themeColor="text1"/>
          <w:u w:val="none"/>
        </w:rPr>
        <w:t xml:space="preserve">4</w:t>
      </w:r>
      <w:r>
        <w:rPr>
          <w:rFonts w:ascii="宋体" w:hAnsi="宋体" w:eastAsia="宋体" w:cs="宋体"/>
          <w:color w:val="000000" w:themeColor="text1"/>
          <w:u w:val="none"/>
        </w:rPr>
        <w:t xml:space="preserve">、质保期内提供免费上门维护、升级服务，提供报修电话，如设备出现故障，供货方在接到电话后，4小时内响应，24小时以内到现场处理，48小时内修复，现场不能修复的，必须无偿提供采购物品的备用件或整机等措施，以保证采购方的正常使用。出现故障后，供货方如未按上述要求进行响应，采购方可以采取必要的补救措施，由此产生的费用将由供货方承担。</w:t>
      </w:r>
      <w:r/>
    </w:p>
    <w:p>
      <w:pPr>
        <w:pStyle w:val="861"/>
        <w:ind w:firstLine="200"/>
        <w:spacing w:line="360" w:lineRule="auto"/>
        <w:rPr>
          <w:rFonts w:ascii="宋体" w:hAnsi="宋体" w:eastAsia="宋体" w:cs="宋体"/>
          <w:color w:val="000000" w:themeColor="text1"/>
          <w:u w:val="none"/>
        </w:rPr>
      </w:pPr>
      <w:r>
        <w:rPr>
          <w:color w:val="000000" w:themeColor="text1"/>
          <w:u w:val="none"/>
        </w:rPr>
        <w:t xml:space="preserve">5</w:t>
      </w:r>
      <w:r>
        <w:rPr>
          <w:rFonts w:ascii="宋体" w:hAnsi="宋体" w:eastAsia="宋体" w:cs="宋体"/>
          <w:color w:val="000000" w:themeColor="text1"/>
          <w:u w:val="none"/>
        </w:rPr>
        <w:t xml:space="preserve">、质保期满后，每年定期上门免费维护至少</w:t>
      </w:r>
      <w:r>
        <w:rPr>
          <w:color w:val="000000" w:themeColor="text1"/>
          <w:u w:val="none"/>
        </w:rPr>
        <w:t xml:space="preserve">1</w:t>
      </w:r>
      <w:r>
        <w:rPr>
          <w:rFonts w:ascii="宋体" w:hAnsi="宋体" w:eastAsia="宋体" w:cs="宋体"/>
          <w:color w:val="000000" w:themeColor="text1"/>
          <w:u w:val="none"/>
        </w:rPr>
        <w:t xml:space="preserve">次。</w:t>
      </w:r>
      <w:r/>
    </w:p>
    <w:p>
      <w:pPr>
        <w:pStyle w:val="1075"/>
        <w:ind w:left="420" w:firstLine="0"/>
        <w:jc w:val="left"/>
        <w:spacing w:line="360" w:lineRule="auto"/>
        <w:rPr>
          <w:rFonts w:ascii="宋体" w:hAnsi="宋体"/>
          <w:b/>
          <w:bCs/>
          <w:color w:val="000000" w:themeColor="text1"/>
          <w:sz w:val="24"/>
          <w:u w:val="none"/>
          <w:lang w:eastAsia="zh-CN"/>
        </w:rPr>
      </w:pPr>
      <w:r>
        <w:rPr>
          <w:rFonts w:hint="eastAsia" w:ascii="宋体" w:hAnsi="宋体"/>
          <w:b/>
          <w:bCs/>
          <w:color w:val="000000" w:themeColor="text1"/>
          <w:sz w:val="24"/>
          <w:u w:val="none"/>
          <w:lang w:eastAsia="zh-CN"/>
        </w:rPr>
        <w:t xml:space="preserve">五、服务期限及地点</w:t>
      </w:r>
      <w:r/>
    </w:p>
    <w:p>
      <w:pPr>
        <w:ind w:firstLine="480"/>
        <w:jc w:val="left"/>
        <w:spacing w:line="360" w:lineRule="auto"/>
        <w:rPr>
          <w:rFonts w:cs="宋体"/>
          <w:color w:val="000000" w:themeColor="text1"/>
          <w:sz w:val="22"/>
          <w:u w:val="none"/>
        </w:rPr>
      </w:pPr>
      <w:r>
        <w:rPr>
          <w:rFonts w:hint="eastAsia" w:cs="宋体"/>
          <w:color w:val="000000" w:themeColor="text1"/>
          <w:sz w:val="22"/>
          <w:u w:val="none"/>
        </w:rPr>
        <w:t xml:space="preserve">（1）交付时间：合同签订后 60个日历日完工。</w:t>
      </w:r>
      <w:r/>
    </w:p>
    <w:p>
      <w:pPr>
        <w:ind w:firstLine="480"/>
        <w:jc w:val="left"/>
        <w:spacing w:line="360" w:lineRule="auto"/>
        <w:rPr>
          <w:rFonts w:cs="宋体"/>
          <w:color w:val="000000" w:themeColor="text1"/>
          <w:sz w:val="22"/>
          <w:u w:val="none"/>
        </w:rPr>
      </w:pPr>
      <w:r>
        <w:rPr>
          <w:rFonts w:hint="eastAsia" w:cs="宋体"/>
          <w:color w:val="000000" w:themeColor="text1"/>
          <w:sz w:val="22"/>
          <w:u w:val="none"/>
        </w:rPr>
        <w:t xml:space="preserve">（2）送货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pStyle w:val="1075"/>
        <w:ind w:left="420" w:firstLine="0"/>
        <w:jc w:val="left"/>
        <w:spacing w:line="360" w:lineRule="auto"/>
        <w:rPr>
          <w:rFonts w:ascii="宋体" w:hAnsi="宋体"/>
          <w:b/>
          <w:bCs/>
          <w:color w:val="000000" w:themeColor="text1"/>
          <w:sz w:val="24"/>
          <w:u w:val="none"/>
          <w:lang w:eastAsia="zh-CN"/>
        </w:rPr>
      </w:pPr>
      <w:r>
        <w:rPr>
          <w:rFonts w:hint="eastAsia" w:ascii="宋体" w:hAnsi="宋体"/>
          <w:b/>
          <w:bCs/>
          <w:color w:val="000000" w:themeColor="text1"/>
          <w:sz w:val="24"/>
          <w:u w:val="none"/>
          <w:lang w:eastAsia="zh-CN"/>
        </w:rPr>
        <w:t xml:space="preserve">六、付款方式</w:t>
      </w:r>
      <w:r/>
    </w:p>
    <w:p>
      <w:pPr>
        <w:ind w:firstLine="480"/>
        <w:jc w:val="left"/>
        <w:spacing w:line="360" w:lineRule="auto"/>
        <w:rPr>
          <w:rFonts w:cs="宋体"/>
          <w:color w:val="000000" w:themeColor="text1"/>
          <w:sz w:val="22"/>
          <w:u w:val="none"/>
        </w:rPr>
      </w:pPr>
      <w:r>
        <w:rPr>
          <w:rFonts w:hint="eastAsia" w:cs="宋体"/>
          <w:color w:val="000000" w:themeColor="text1"/>
          <w:sz w:val="22"/>
          <w:u w:val="none"/>
          <w:lang w:val="en-US" w:eastAsia="zh-CN"/>
        </w:rPr>
        <w:t xml:space="preserve">合同签订后支付30%预付款，</w:t>
      </w:r>
      <w:r>
        <w:rPr>
          <w:rFonts w:hint="eastAsia" w:cs="宋体"/>
          <w:color w:val="000000" w:themeColor="text1"/>
          <w:sz w:val="22"/>
          <w:u w:val="none"/>
        </w:rPr>
        <w:t xml:space="preserve">经甲方组织验收合格后，支付至合同价的</w:t>
      </w:r>
      <w:r>
        <w:rPr>
          <w:rFonts w:hint="eastAsia" w:cs="宋体"/>
          <w:color w:val="000000" w:themeColor="text1"/>
          <w:sz w:val="22"/>
          <w:u w:val="none"/>
          <w:lang w:val="en-US" w:eastAsia="zh-CN"/>
        </w:rPr>
        <w:t xml:space="preserve">100</w:t>
      </w:r>
      <w:r>
        <w:rPr>
          <w:rFonts w:hint="eastAsia" w:cs="宋体"/>
          <w:color w:val="000000" w:themeColor="text1"/>
          <w:sz w:val="22"/>
          <w:u w:val="none"/>
        </w:rPr>
        <w:t xml:space="preserve">%，注：满足合同约定支付条件的，采购人收到供应商发票后 10 个工作日内，将资金支付到合同约定的供应商账户。</w:t>
      </w:r>
      <w:r>
        <w:rPr>
          <w:rFonts w:hint="eastAsia"/>
          <w:color w:val="000000" w:themeColor="text1"/>
          <w:sz w:val="22"/>
          <w:u w:val="none"/>
        </w:rPr>
        <w:t xml:space="preserve">采购人向中标供应商每次付款时，中标供应商需提供国家正规等额发票。</w:t>
      </w:r>
      <w:r/>
    </w:p>
    <w:p>
      <w:pPr>
        <w:ind w:firstLine="480"/>
        <w:jc w:val="left"/>
        <w:spacing w:line="360" w:lineRule="auto"/>
        <w:rPr>
          <w:rFonts w:ascii="宋体" w:hAnsi="宋体"/>
          <w:b/>
          <w:bCs/>
          <w:color w:val="000000" w:themeColor="text1"/>
          <w:sz w:val="24"/>
          <w:u w:val="none"/>
        </w:rPr>
      </w:pPr>
      <w:r>
        <w:rPr>
          <w:rFonts w:hint="eastAsia" w:cs="宋体"/>
          <w:color w:val="000000" w:themeColor="text1"/>
          <w:sz w:val="22"/>
          <w:u w:val="none"/>
        </w:rPr>
        <w:t xml:space="preserve">注：满足合同约定支付条件的，采购人收到供应商发票后 10 个工作日内，将资金支付到合同约定的供应商账户。</w:t>
      </w:r>
      <w:r>
        <w:rPr>
          <w:rFonts w:hint="eastAsia"/>
          <w:color w:val="000000" w:themeColor="text1"/>
          <w:sz w:val="22"/>
          <w:u w:val="none"/>
        </w:rPr>
        <w:t xml:space="preserve">采购人向中标供应商每次付款时，中标供应商需提供国家正规等额发票。</w:t>
      </w:r>
      <w:r/>
    </w:p>
    <w:p>
      <w:pPr>
        <w:pStyle w:val="1075"/>
        <w:ind w:left="420" w:firstLine="0"/>
        <w:jc w:val="left"/>
        <w:spacing w:line="360" w:lineRule="auto"/>
        <w:rPr>
          <w:rFonts w:ascii="宋体" w:hAnsi="宋体"/>
          <w:b/>
          <w:bCs/>
          <w:color w:val="000000" w:themeColor="text1"/>
          <w:sz w:val="24"/>
          <w:u w:val="none"/>
          <w:lang w:eastAsia="zh-CN"/>
        </w:rPr>
      </w:pPr>
      <w:r>
        <w:rPr>
          <w:rFonts w:hint="eastAsia" w:ascii="宋体" w:hAnsi="宋体"/>
          <w:b/>
          <w:bCs/>
          <w:color w:val="000000" w:themeColor="text1"/>
          <w:sz w:val="24"/>
          <w:u w:val="none"/>
          <w:lang w:eastAsia="zh-CN"/>
        </w:rPr>
        <w:t xml:space="preserve">七、验收要求</w:t>
      </w:r>
      <w:r/>
    </w:p>
    <w:p>
      <w:pPr>
        <w:ind w:firstLine="480"/>
        <w:jc w:val="left"/>
        <w:spacing w:line="360" w:lineRule="auto"/>
        <w:rPr>
          <w:rFonts w:cs="宋体"/>
          <w:color w:val="000000" w:themeColor="text1"/>
          <w:sz w:val="22"/>
          <w:u w:val="none"/>
        </w:rPr>
      </w:pPr>
      <w:r>
        <w:rPr>
          <w:rFonts w:hint="eastAsia" w:cs="宋体"/>
          <w:color w:val="000000" w:themeColor="text1"/>
          <w:sz w:val="22"/>
          <w:u w:val="none"/>
        </w:rPr>
        <w:t xml:space="preserve">（1）由采购人组织验收，检验不合格或不符合质量要求，供应商除无条件退货、返工外，还应承担采购人的一切损失；</w:t>
      </w:r>
      <w:r/>
    </w:p>
    <w:p>
      <w:pPr>
        <w:ind w:firstLine="480"/>
        <w:jc w:val="left"/>
        <w:spacing w:line="360" w:lineRule="auto"/>
        <w:rPr>
          <w:rFonts w:cs="宋体"/>
          <w:color w:val="000000" w:themeColor="text1"/>
          <w:sz w:val="22"/>
          <w:u w:val="none"/>
        </w:rPr>
      </w:pPr>
      <w:r>
        <w:rPr>
          <w:rFonts w:hint="eastAsia" w:cs="宋体"/>
          <w:color w:val="000000" w:themeColor="text1"/>
          <w:sz w:val="22"/>
          <w:u w:val="none"/>
        </w:rPr>
        <w:t xml:space="preserve">（2）项目实施完成，中标供应商应完成竣工文档整理，并配合采购人完成市级采购平台电子文档收集工作，同时纸质竣工文档是验收的必要条件。</w:t>
      </w:r>
      <w:r/>
    </w:p>
    <w:p>
      <w:pPr>
        <w:pStyle w:val="1075"/>
        <w:ind w:left="420" w:firstLine="0"/>
        <w:jc w:val="left"/>
        <w:spacing w:line="360" w:lineRule="auto"/>
        <w:rPr>
          <w:rFonts w:ascii="宋体" w:hAnsi="宋体"/>
          <w:b/>
          <w:bCs/>
          <w:color w:val="000000" w:themeColor="text1"/>
          <w:sz w:val="24"/>
          <w:u w:val="none"/>
          <w:lang w:eastAsia="zh-CN"/>
        </w:rPr>
      </w:pPr>
      <w:r>
        <w:rPr>
          <w:rFonts w:hint="eastAsia" w:ascii="宋体" w:hAnsi="宋体"/>
          <w:b/>
          <w:bCs/>
          <w:color w:val="000000" w:themeColor="text1"/>
          <w:sz w:val="24"/>
          <w:u w:val="none"/>
          <w:lang w:eastAsia="zh-CN"/>
        </w:rPr>
        <w:t xml:space="preserve">八、履约保证金</w:t>
      </w:r>
      <w:r/>
    </w:p>
    <w:p>
      <w:pPr>
        <w:ind w:firstLine="480"/>
        <w:jc w:val="left"/>
        <w:spacing w:line="360" w:lineRule="auto"/>
        <w:rPr>
          <w:rFonts w:cs="宋体"/>
          <w:color w:val="000000" w:themeColor="text1"/>
          <w:sz w:val="22"/>
          <w:u w:val="none"/>
        </w:rPr>
      </w:pPr>
      <w:r>
        <w:rPr>
          <w:rFonts w:hint="eastAsia" w:cs="宋体"/>
          <w:color w:val="000000" w:themeColor="text1"/>
          <w:sz w:val="22"/>
          <w:u w:val="none"/>
        </w:rPr>
        <w:t xml:space="preserve">无</w:t>
      </w:r>
      <w:r/>
    </w:p>
    <w:p>
      <w:pPr>
        <w:pStyle w:val="1075"/>
        <w:ind w:left="420" w:firstLine="0"/>
        <w:jc w:val="left"/>
        <w:spacing w:line="360" w:lineRule="auto"/>
        <w:rPr>
          <w:rFonts w:ascii="宋体" w:hAnsi="宋体"/>
          <w:b/>
          <w:bCs/>
          <w:color w:val="000000" w:themeColor="text1"/>
          <w:sz w:val="24"/>
          <w:u w:val="none"/>
          <w:lang w:eastAsia="zh-CN"/>
        </w:rPr>
      </w:pPr>
      <w:r>
        <w:rPr>
          <w:rFonts w:hint="eastAsia" w:ascii="宋体" w:hAnsi="宋体"/>
          <w:b/>
          <w:bCs/>
          <w:color w:val="000000" w:themeColor="text1"/>
          <w:sz w:val="24"/>
          <w:u w:val="none"/>
          <w:lang w:eastAsia="zh-CN"/>
        </w:rPr>
        <w:t xml:space="preserve">九、其它</w:t>
      </w:r>
      <w:r/>
    </w:p>
    <w:p>
      <w:pPr>
        <w:ind w:firstLine="220"/>
        <w:jc w:val="left"/>
        <w:spacing w:line="360" w:lineRule="auto"/>
        <w:rPr>
          <w:rFonts w:cs="宋体"/>
          <w:color w:val="000000" w:themeColor="text1"/>
          <w:sz w:val="22"/>
          <w:u w:val="none"/>
        </w:rPr>
      </w:pPr>
      <w:r>
        <w:rPr>
          <w:rFonts w:hint="eastAsia" w:cs="宋体"/>
          <w:color w:val="000000" w:themeColor="text1"/>
          <w:sz w:val="22"/>
          <w:u w:val="none"/>
        </w:rPr>
        <w:t xml:space="preserve">现场平面图见附件</w:t>
      </w:r>
      <w:r/>
    </w:p>
    <w:p>
      <w:pPr>
        <w:ind w:firstLine="315"/>
        <w:jc w:val="left"/>
        <w:widowControl/>
        <w:rPr>
          <w:color w:val="000000" w:themeColor="text1"/>
          <w:sz w:val="28"/>
          <w:szCs w:val="28"/>
          <w:u w:val="none"/>
        </w:rPr>
      </w:pPr>
      <w:r>
        <w:rPr>
          <w:u w:val="none"/>
        </w:rPr>
        <w:fldChar w:fldCharType="begin"/>
      </w:r>
      <w:r>
        <w:rPr>
          <w:u w:val="none"/>
        </w:rPr>
        <w:instrText xml:space="preserve"> HYPERLINK "file:///G:\\xwechat_files\\likecolacat_44bb\\msg\\file\\2025-09\\体卫现场平面图.rar" </w:instrText>
      </w:r>
      <w:r>
        <w:rPr>
          <w:u w:val="none"/>
        </w:rPr>
        <w:fldChar w:fldCharType="separate"/>
      </w:r>
      <w:r>
        <w:rPr>
          <w:rStyle w:val="800"/>
          <w:rFonts w:hint="eastAsia"/>
          <w:color w:val="000000" w:themeColor="text1"/>
          <w:sz w:val="28"/>
          <w:szCs w:val="28"/>
          <w:u w:val="none"/>
        </w:rPr>
        <w:t xml:space="preserve">体卫现场平面图.rar</w:t>
      </w:r>
      <w:r>
        <w:rPr>
          <w:rStyle w:val="800"/>
          <w:rFonts w:hint="eastAsia"/>
          <w:color w:val="000000" w:themeColor="text1"/>
          <w:sz w:val="28"/>
          <w:szCs w:val="28"/>
          <w:u w:val="none"/>
        </w:rPr>
        <w:fldChar w:fldCharType="end"/>
      </w:r>
      <w:r/>
    </w:p>
    <w:p>
      <w:pPr>
        <w:pStyle w:val="1032"/>
        <w:jc w:val="center"/>
        <w:rPr>
          <w:rFonts w:hint="eastAsia"/>
          <w:color w:val="000000"/>
          <w:u w:val="none"/>
          <w:lang w:eastAsia="zh-CN"/>
        </w:rPr>
      </w:pPr>
      <w:r>
        <w:rPr>
          <w:rFonts w:hint="eastAsia"/>
          <w:color w:val="000000"/>
          <w:u w:val="none"/>
          <w:lang w:eastAsia="zh-CN"/>
        </w:rPr>
        <w:t xml:space="preserve">  </w:t>
      </w:r>
      <w:bookmarkStart w:id="380" w:name="_Toc73364900"/>
      <w:r/>
      <w:bookmarkStart w:id="381" w:name="_Toc256000057"/>
      <w:r/>
      <w:bookmarkStart w:id="382" w:name="_Toc73365513"/>
      <w:r/>
      <w:r/>
    </w:p>
    <w:p>
      <w:pPr>
        <w:rPr>
          <w:rFonts w:hint="eastAsia"/>
          <w:color w:val="000000"/>
          <w:u w:val="none"/>
          <w:lang w:eastAsia="zh-CN"/>
        </w:rPr>
      </w:pPr>
      <w:r>
        <w:rPr>
          <w:rFonts w:hint="eastAsia"/>
          <w:color w:val="000000"/>
          <w:u w:val="none"/>
          <w:lang w:eastAsia="zh-CN"/>
        </w:rPr>
        <w:br w:type="page" w:clear="all"/>
      </w:r>
      <w:r/>
    </w:p>
    <w:p>
      <w:pPr>
        <w:pStyle w:val="1032"/>
        <w:jc w:val="center"/>
        <w:rPr>
          <w:rFonts w:ascii="宋体" w:hAnsi="宋体"/>
          <w:color w:val="000000"/>
          <w:sz w:val="36"/>
          <w:u w:val="none"/>
          <w:lang w:eastAsia="zh-CN"/>
        </w:rPr>
      </w:pPr>
      <w:r>
        <w:rPr>
          <w:rFonts w:hint="eastAsia" w:ascii="宋体" w:hAnsi="宋体"/>
          <w:color w:val="000000"/>
          <w:sz w:val="36"/>
          <w:u w:val="none"/>
          <w:lang w:eastAsia="zh-CN"/>
        </w:rPr>
        <w:t xml:space="preserve">第五部分  磋商及评审</w:t>
      </w:r>
      <w:bookmarkEnd w:id="380"/>
      <w:r/>
      <w:bookmarkEnd w:id="381"/>
      <w:r/>
      <w:bookmarkEnd w:id="382"/>
      <w:r/>
      <w:r/>
    </w:p>
    <w:p>
      <w:pPr>
        <w:pStyle w:val="1034"/>
        <w:ind w:firstLine="321"/>
        <w:jc w:val="left"/>
        <w:spacing w:line="400" w:lineRule="exact"/>
        <w:rPr>
          <w:rFonts w:ascii="宋体" w:hAnsi="宋体" w:eastAsia="宋体"/>
          <w:color w:val="000000"/>
          <w:sz w:val="32"/>
          <w:u w:val="none"/>
          <w:lang w:eastAsia="zh-CN"/>
        </w:rPr>
      </w:pPr>
      <w:r/>
      <w:bookmarkStart w:id="383" w:name="_Toc73365514"/>
      <w:r/>
      <w:bookmarkStart w:id="384" w:name="_Toc73364901"/>
      <w:r/>
      <w:bookmarkStart w:id="385" w:name="_Toc256000058"/>
      <w:r>
        <w:rPr>
          <w:rFonts w:hint="eastAsia" w:ascii="宋体" w:hAnsi="宋体" w:eastAsia="宋体"/>
          <w:color w:val="000000"/>
          <w:sz w:val="32"/>
          <w:u w:val="none"/>
          <w:lang w:eastAsia="zh-CN"/>
        </w:rPr>
        <w:t xml:space="preserve">1．</w:t>
      </w:r>
      <w:r>
        <w:rPr>
          <w:rFonts w:ascii="宋体" w:hAnsi="宋体" w:eastAsia="宋体"/>
          <w:color w:val="000000"/>
          <w:sz w:val="32"/>
          <w:u w:val="none"/>
          <w:lang w:eastAsia="zh-CN"/>
        </w:rPr>
        <w:t xml:space="preserve">磋商小组职责</w:t>
      </w:r>
      <w:bookmarkEnd w:id="383"/>
      <w:r/>
      <w:bookmarkEnd w:id="384"/>
      <w:r/>
      <w:bookmarkEnd w:id="385"/>
      <w:r/>
      <w:r/>
    </w:p>
    <w:p>
      <w:pPr>
        <w:ind w:firstLine="420"/>
        <w:spacing w:line="360" w:lineRule="auto"/>
        <w:widowControl/>
        <w:rPr>
          <w:rFonts w:ascii="宋体" w:hAnsi="宋体"/>
          <w:color w:val="000000"/>
          <w:sz w:val="24"/>
          <w:u w:val="none"/>
        </w:rPr>
      </w:pPr>
      <w:r>
        <w:rPr>
          <w:rFonts w:hint="eastAsia" w:ascii="宋体" w:hAnsi="宋体"/>
          <w:color w:val="000000"/>
          <w:sz w:val="24"/>
          <w:u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000000"/>
          <w:sz w:val="24"/>
          <w:u w:val="none"/>
        </w:rPr>
      </w:pPr>
      <w:r>
        <w:rPr>
          <w:rFonts w:hint="eastAsia" w:ascii="宋体" w:hAnsi="宋体"/>
          <w:color w:val="000000"/>
          <w:sz w:val="24"/>
          <w:u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000000"/>
          <w:sz w:val="24"/>
          <w:u w:val="none"/>
        </w:rPr>
      </w:pPr>
      <w:r>
        <w:rPr>
          <w:rFonts w:hint="eastAsia" w:ascii="宋体" w:hAnsi="宋体"/>
          <w:color w:val="000000"/>
          <w:sz w:val="24"/>
          <w:u w:val="none"/>
        </w:rPr>
        <w:t xml:space="preserve">1.3起草评审报告并进行签署。</w:t>
      </w:r>
      <w:r/>
    </w:p>
    <w:p>
      <w:pPr>
        <w:ind w:firstLine="420"/>
        <w:spacing w:line="360" w:lineRule="auto"/>
        <w:widowControl/>
        <w:rPr>
          <w:rFonts w:ascii="宋体" w:hAnsi="宋体"/>
          <w:color w:val="000000"/>
          <w:sz w:val="24"/>
          <w:u w:val="none"/>
        </w:rPr>
      </w:pPr>
      <w:r>
        <w:rPr>
          <w:rFonts w:hint="eastAsia" w:ascii="宋体" w:hAnsi="宋体"/>
          <w:color w:val="000000"/>
          <w:sz w:val="24"/>
          <w:u w:val="none"/>
        </w:rPr>
        <w:t xml:space="preserve">1.4推荐成交候选供应商。</w:t>
      </w:r>
      <w:r/>
    </w:p>
    <w:p>
      <w:pPr>
        <w:ind w:firstLine="420"/>
        <w:spacing w:line="360" w:lineRule="auto"/>
        <w:widowControl/>
        <w:rPr>
          <w:rFonts w:ascii="宋体" w:hAnsi="宋体"/>
          <w:color w:val="000000"/>
          <w:sz w:val="24"/>
          <w:u w:val="none"/>
        </w:rPr>
      </w:pPr>
      <w:r>
        <w:rPr>
          <w:rFonts w:hint="eastAsia" w:ascii="宋体" w:hAnsi="宋体"/>
          <w:color w:val="000000"/>
          <w:sz w:val="24"/>
          <w:u w:val="none"/>
        </w:rPr>
        <w:t xml:space="preserve">1.5向采购人、采购代理机构、财政部门或者其他监督部门报告非法干预评审工作的行为。</w:t>
      </w:r>
      <w:r/>
    </w:p>
    <w:p>
      <w:pPr>
        <w:ind w:firstLine="420"/>
        <w:spacing w:line="360" w:lineRule="auto"/>
        <w:widowControl/>
        <w:rPr>
          <w:rFonts w:ascii="宋体" w:hAnsi="宋体"/>
          <w:color w:val="000000"/>
          <w:sz w:val="24"/>
          <w:u w:val="none"/>
        </w:rPr>
      </w:pPr>
      <w:r>
        <w:rPr>
          <w:rFonts w:hint="eastAsia" w:ascii="宋体" w:hAnsi="宋体"/>
          <w:color w:val="000000"/>
          <w:sz w:val="24"/>
          <w:u w:val="none"/>
        </w:rPr>
        <w:t xml:space="preserve">1.6法律、法规和规章规定的其他职责。</w:t>
      </w:r>
      <w:r/>
    </w:p>
    <w:p>
      <w:pPr>
        <w:pStyle w:val="1034"/>
        <w:ind w:firstLine="321"/>
        <w:jc w:val="left"/>
        <w:spacing w:line="400" w:lineRule="exact"/>
        <w:rPr>
          <w:rFonts w:ascii="宋体" w:hAnsi="宋体" w:eastAsia="宋体"/>
          <w:color w:val="000000"/>
          <w:sz w:val="32"/>
          <w:u w:val="none"/>
          <w:lang w:eastAsia="zh-CN"/>
        </w:rPr>
      </w:pPr>
      <w:r/>
      <w:bookmarkStart w:id="386" w:name="_Toc256000059"/>
      <w:r/>
      <w:bookmarkStart w:id="387" w:name="_Toc73364902"/>
      <w:r/>
      <w:bookmarkStart w:id="388" w:name="_Toc73365515"/>
      <w:r>
        <w:rPr>
          <w:rFonts w:hint="eastAsia" w:ascii="宋体" w:hAnsi="宋体" w:eastAsia="宋体"/>
          <w:color w:val="000000"/>
          <w:sz w:val="32"/>
          <w:u w:val="none"/>
          <w:lang w:eastAsia="zh-CN"/>
        </w:rPr>
        <w:t xml:space="preserve">2．磋商及评审程序</w:t>
      </w:r>
      <w:bookmarkEnd w:id="386"/>
      <w:r/>
      <w:bookmarkEnd w:id="387"/>
      <w:r/>
      <w:bookmarkEnd w:id="388"/>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2.1磋商组织方按磋商小组名单核对身份并签到。</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2.2磋商组织方宣布磋商及评审纪律，磋商小组确认有无回避的情形。</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2.3磋商小组推选组长，负责组织磋商及评审活动，采购人代表不得担任组长。</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2.4磋商小组正式评审前，应当对磋商文件进行熟悉和理解，审查磋商文件。</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2.5磋商小组将对供应商进行符合性审查，对首次响应文件进行有效性、完整性和响应程度审查。未通过审查的供应商不得参与磋商，磋商小组应书面告知供应商并说明理由。</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2.6</w:t>
      </w:r>
      <w:r>
        <w:rPr>
          <w:rFonts w:ascii="宋体" w:hAnsi="宋体"/>
          <w:color w:val="000000"/>
          <w:sz w:val="24"/>
          <w:u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2.7磋商小组应集中与符合要求的单一供应商分别进行磋商，并给予所有参加磋商的供应商平等的磋商机会。</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6"/>
        <w:spacing w:line="360" w:lineRule="auto"/>
        <w:rPr>
          <w:rFonts w:ascii="宋体" w:hAnsi="宋体"/>
          <w:b/>
          <w:bCs/>
          <w:color w:val="000000"/>
          <w:u w:val="none"/>
        </w:rPr>
      </w:pPr>
      <w:r>
        <w:rPr>
          <w:rFonts w:hint="eastAsia" w:ascii="宋体" w:hAnsi="宋体"/>
          <w:b/>
          <w:bCs/>
          <w:color w:val="000000"/>
          <w:sz w:val="24"/>
          <w:u w:val="none"/>
        </w:rPr>
        <w:t xml:space="preserve">供应商未在磋商小组规定的时间（自发起30分钟）内完成最后报价的视为放弃报价，自动退出此次磋商，其响应按无效响应处理，不参与后续的项目流程。最后报价须加盖电子签章。</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符合磋商</w:t>
      </w:r>
      <w:r>
        <w:rPr>
          <w:rFonts w:ascii="宋体" w:hAnsi="宋体"/>
          <w:color w:val="000000"/>
          <w:sz w:val="24"/>
          <w:u w:val="none"/>
        </w:rPr>
        <w:t xml:space="preserve">文件供应商须知</w:t>
      </w:r>
      <w:r>
        <w:rPr>
          <w:rFonts w:hint="eastAsia" w:ascii="宋体" w:hAnsi="宋体"/>
          <w:color w:val="000000"/>
          <w:sz w:val="24"/>
          <w:u w:val="none"/>
        </w:rPr>
        <w:t xml:space="preserve">规定情形的，提交最后报价的供应商可以为</w:t>
      </w:r>
      <w:r>
        <w:rPr>
          <w:rFonts w:ascii="宋体" w:hAnsi="宋体"/>
          <w:color w:val="000000"/>
          <w:sz w:val="24"/>
          <w:u w:val="none"/>
        </w:rPr>
        <w:t xml:space="preserve">2</w:t>
      </w:r>
      <w:r>
        <w:rPr>
          <w:rFonts w:hint="eastAsia" w:ascii="宋体" w:hAnsi="宋体"/>
          <w:color w:val="000000"/>
          <w:sz w:val="24"/>
          <w:u w:val="none"/>
        </w:rPr>
        <w:t xml:space="preserve">家。</w:t>
      </w:r>
      <w:r/>
    </w:p>
    <w:p>
      <w:pPr>
        <w:ind w:firstLine="425"/>
        <w:jc w:val="left"/>
        <w:spacing w:line="360" w:lineRule="auto"/>
        <w:widowControl/>
        <w:rPr>
          <w:rFonts w:ascii="宋体" w:hAnsi="宋体"/>
          <w:color w:val="000000"/>
          <w:sz w:val="24"/>
          <w:u w:val="none"/>
        </w:rPr>
      </w:pPr>
      <w:r>
        <w:rPr>
          <w:rFonts w:hint="eastAsia" w:ascii="宋体" w:hAnsi="宋体"/>
          <w:color w:val="000000"/>
          <w:sz w:val="24"/>
          <w:u w:val="none"/>
        </w:rPr>
        <w:t xml:space="preserve">2.10经磋商确定最终采购需求和提交最后报价的供应商后，磋商小组应对提交最后报价的供应商的响应文件和最后报价进行评审。</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2.12推荐成交候选供应商，并出具书面评审报告。</w:t>
      </w:r>
      <w:r/>
    </w:p>
    <w:p>
      <w:pPr>
        <w:pStyle w:val="1034"/>
        <w:ind w:firstLine="321"/>
        <w:jc w:val="left"/>
        <w:spacing w:before="0" w:after="0" w:line="400" w:lineRule="exact"/>
        <w:rPr>
          <w:rFonts w:ascii="宋体" w:hAnsi="宋体" w:eastAsia="宋体"/>
          <w:color w:val="000000"/>
          <w:sz w:val="32"/>
          <w:u w:val="none"/>
          <w:lang w:eastAsia="zh-CN"/>
        </w:rPr>
      </w:pPr>
      <w:r/>
      <w:bookmarkStart w:id="389" w:name="_Toc256000064"/>
      <w:r/>
      <w:bookmarkStart w:id="390" w:name="_Toc73365520"/>
      <w:r/>
      <w:bookmarkStart w:id="391" w:name="_Toc73364907"/>
      <w:r>
        <w:rPr>
          <w:rFonts w:hint="eastAsia" w:ascii="宋体" w:hAnsi="宋体" w:eastAsia="宋体"/>
          <w:color w:val="000000"/>
          <w:sz w:val="32"/>
          <w:u w:val="none"/>
          <w:lang w:eastAsia="zh-CN"/>
        </w:rPr>
        <w:t xml:space="preserve">3．供应商资格审查</w:t>
      </w:r>
      <w:r/>
    </w:p>
    <w:p>
      <w:pPr>
        <w:pStyle w:val="856"/>
        <w:rPr>
          <w:color w:val="000000"/>
          <w:u w:val="none"/>
        </w:rPr>
      </w:pPr>
      <w:r>
        <w:rPr>
          <w:color w:val="000000"/>
          <w:u w:val="none"/>
        </w:rPr>
      </w:r>
      <w:r/>
    </w:p>
    <w:p>
      <w:pPr>
        <w:ind w:firstLine="480"/>
        <w:spacing w:line="360" w:lineRule="auto"/>
        <w:widowControl/>
        <w:rPr>
          <w:rFonts w:ascii="宋体" w:hAnsi="宋体"/>
          <w:color w:val="000000"/>
          <w:sz w:val="24"/>
          <w:u w:val="none"/>
        </w:rPr>
      </w:pPr>
      <w:r>
        <w:rPr>
          <w:rFonts w:hint="eastAsia" w:ascii="宋体" w:hAnsi="宋体"/>
          <w:color w:val="000000"/>
          <w:sz w:val="24"/>
          <w:u w:val="none"/>
        </w:rPr>
        <w:t xml:space="preserve">开启结束后，采购人将依法对供应商的资格进行审查。资格审查的内容如下：</w:t>
      </w:r>
      <w:r/>
    </w:p>
    <w:p>
      <w:pPr>
        <w:rPr>
          <w:color w:val="000000"/>
          <w:sz w:val="20"/>
          <w:u w:val="none"/>
        </w:rPr>
      </w:pPr>
      <w:r/>
      <w:bookmarkStart w:id="392" w:name="EB26dcd70bebb54979b7a4b621de125d2f"/>
      <w:r/>
      <w:r/>
    </w:p>
    <w:tbl>
      <w:tblPr>
        <w:tblStyle w:val="778"/>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57"/>
        <w:gridCol w:w="1395"/>
        <w:gridCol w:w="7730"/>
      </w:tblGrid>
      <w:tr>
        <w:trPr/>
        <w:tc>
          <w:tcPr>
            <w:tcMar>
              <w:top w:w="100" w:type="dxa"/>
              <w:bottom w:w="100" w:type="dxa"/>
            </w:tcMar>
            <w:tcW w:w="457" w:type="dxa"/>
            <w:vAlign w:val="center"/>
            <w:textDirection w:val="lrTb"/>
            <w:noWrap w:val="false"/>
          </w:tcPr>
          <w:p>
            <w:pPr>
              <w:pStyle w:val="1094"/>
              <w:jc w:val="center"/>
              <w:rPr>
                <w:rFonts w:ascii="宋体" w:hAnsi="宋体" w:eastAsia="宋体" w:cs="宋体"/>
                <w:color w:val="000000"/>
                <w:sz w:val="21"/>
                <w:u w:val="none"/>
              </w:rPr>
            </w:pPr>
            <w:r>
              <w:rPr>
                <w:rFonts w:ascii="宋体" w:hAnsi="宋体" w:eastAsia="宋体" w:cs="宋体"/>
                <w:color w:val="000000"/>
                <w:sz w:val="21"/>
                <w:u w:val="none"/>
              </w:rPr>
              <w:t xml:space="preserve">序号</w:t>
            </w:r>
            <w:r/>
          </w:p>
        </w:tc>
        <w:tc>
          <w:tcPr>
            <w:tcMar>
              <w:top w:w="100" w:type="dxa"/>
              <w:bottom w:w="100" w:type="dxa"/>
            </w:tcMar>
            <w:tcW w:w="1395" w:type="dxa"/>
            <w:vAlign w:val="center"/>
            <w:textDirection w:val="lrTb"/>
            <w:noWrap w:val="false"/>
          </w:tcPr>
          <w:p>
            <w:pPr>
              <w:pStyle w:val="1094"/>
              <w:jc w:val="center"/>
              <w:rPr>
                <w:rFonts w:ascii="宋体" w:hAnsi="宋体" w:eastAsia="宋体" w:cs="宋体"/>
                <w:color w:val="000000"/>
                <w:sz w:val="21"/>
                <w:u w:val="none"/>
              </w:rPr>
            </w:pPr>
            <w:r>
              <w:rPr>
                <w:rFonts w:ascii="宋体" w:hAnsi="宋体" w:eastAsia="宋体" w:cs="宋体"/>
                <w:color w:val="000000"/>
                <w:sz w:val="21"/>
                <w:u w:val="none"/>
              </w:rPr>
              <w:t xml:space="preserve">审查要素</w:t>
            </w:r>
            <w:r/>
          </w:p>
        </w:tc>
        <w:tc>
          <w:tcPr>
            <w:tcMar>
              <w:top w:w="100" w:type="dxa"/>
              <w:bottom w:w="100" w:type="dxa"/>
            </w:tcMar>
            <w:tcW w:w="7730" w:type="dxa"/>
            <w:vAlign w:val="center"/>
            <w:textDirection w:val="lrTb"/>
            <w:noWrap w:val="false"/>
          </w:tcPr>
          <w:p>
            <w:pPr>
              <w:pStyle w:val="1094"/>
              <w:jc w:val="center"/>
              <w:rPr>
                <w:rFonts w:ascii="宋体" w:hAnsi="宋体" w:eastAsia="宋体" w:cs="宋体"/>
                <w:color w:val="000000"/>
                <w:sz w:val="21"/>
                <w:u w:val="none"/>
              </w:rPr>
            </w:pPr>
            <w:r>
              <w:rPr>
                <w:rFonts w:ascii="宋体" w:hAnsi="宋体" w:eastAsia="宋体" w:cs="宋体"/>
                <w:color w:val="000000"/>
                <w:sz w:val="21"/>
                <w:u w:val="none"/>
              </w:rPr>
              <w:t xml:space="preserve">审查内容</w:t>
            </w:r>
            <w:r/>
          </w:p>
        </w:tc>
      </w:tr>
      <w:tr>
        <w:trPr/>
        <w:tc>
          <w:tcPr>
            <w:tcMar>
              <w:top w:w="100" w:type="dxa"/>
              <w:bottom w:w="100" w:type="dxa"/>
            </w:tcMar>
            <w:tcW w:w="457" w:type="dxa"/>
            <w:vAlign w:val="center"/>
            <w:textDirection w:val="lrTb"/>
            <w:noWrap w:val="false"/>
          </w:tcPr>
          <w:p>
            <w:pPr>
              <w:pStyle w:val="1094"/>
              <w:jc w:val="center"/>
              <w:rPr>
                <w:rFonts w:ascii="宋体" w:hAnsi="宋体" w:eastAsia="宋体" w:cs="宋体"/>
                <w:color w:val="000000"/>
                <w:sz w:val="21"/>
                <w:u w:val="none"/>
              </w:rPr>
            </w:pPr>
            <w:r>
              <w:rPr>
                <w:rFonts w:ascii="宋体" w:hAnsi="宋体" w:eastAsia="宋体" w:cs="宋体"/>
                <w:color w:val="000000"/>
                <w:sz w:val="21"/>
                <w:u w:val="none"/>
              </w:rPr>
              <w:t xml:space="preserve">1</w:t>
            </w:r>
            <w:r/>
          </w:p>
        </w:tc>
        <w:tc>
          <w:tcPr>
            <w:tcMar>
              <w:top w:w="100" w:type="dxa"/>
              <w:bottom w:w="100" w:type="dxa"/>
            </w:tcMar>
            <w:tcW w:w="1395" w:type="dxa"/>
            <w:vAlign w:val="center"/>
            <w:textDirection w:val="lrTb"/>
            <w:noWrap w:val="false"/>
          </w:tcPr>
          <w:p>
            <w:pPr>
              <w:pStyle w:val="1094"/>
              <w:jc w:val="center"/>
              <w:rPr>
                <w:rFonts w:ascii="宋体" w:hAnsi="宋体" w:eastAsia="宋体" w:cs="宋体"/>
                <w:color w:val="000000"/>
                <w:sz w:val="21"/>
                <w:u w:val="none"/>
              </w:rPr>
            </w:pPr>
            <w:r>
              <w:rPr>
                <w:rFonts w:ascii="宋体" w:hAnsi="宋体" w:eastAsia="宋体" w:cs="宋体"/>
                <w:color w:val="000000"/>
                <w:sz w:val="21"/>
                <w:u w:val="none"/>
              </w:rPr>
              <w:t xml:space="preserve">具有独立承担民事责任的能力</w:t>
            </w:r>
            <w:r/>
          </w:p>
        </w:tc>
        <w:tc>
          <w:tcPr>
            <w:tcMar>
              <w:top w:w="100" w:type="dxa"/>
              <w:bottom w:w="100" w:type="dxa"/>
            </w:tcMar>
            <w:tcW w:w="7730" w:type="dxa"/>
            <w:vAlign w:val="center"/>
            <w:textDirection w:val="lrTb"/>
            <w:noWrap w:val="false"/>
          </w:tcPr>
          <w:p>
            <w:pPr>
              <w:pStyle w:val="1094"/>
              <w:jc w:val="center"/>
              <w:rPr>
                <w:rFonts w:ascii="宋体" w:hAnsi="宋体" w:eastAsia="宋体" w:cs="宋体"/>
                <w:color w:val="000000"/>
                <w:sz w:val="21"/>
                <w:u w:val="none"/>
              </w:rPr>
            </w:pPr>
            <w:r>
              <w:rPr>
                <w:rFonts w:hint="eastAsia" w:ascii="宋体" w:hAnsi="宋体" w:eastAsia="宋体" w:cs="宋体"/>
                <w:color w:val="000000"/>
                <w:sz w:val="21"/>
                <w:u w:val="none"/>
              </w:rPr>
              <w:t xml:space="preserve">提供</w:t>
            </w:r>
            <w:r>
              <w:rPr>
                <w:rFonts w:ascii="宋体" w:hAnsi="宋体" w:eastAsia="宋体" w:cs="宋体"/>
                <w:color w:val="000000"/>
                <w:sz w:val="21"/>
                <w:u w:val="none"/>
              </w:rPr>
              <w:t xml:space="preserve">法人或者其他组织的营业执照等证明文件；自然人的身份证。</w:t>
            </w:r>
            <w:r/>
          </w:p>
        </w:tc>
      </w:tr>
      <w:tr>
        <w:trPr/>
        <w:tc>
          <w:tcPr>
            <w:tcMar>
              <w:top w:w="100" w:type="dxa"/>
              <w:bottom w:w="100" w:type="dxa"/>
            </w:tcMar>
            <w:tcW w:w="457" w:type="dxa"/>
            <w:vAlign w:val="center"/>
            <w:textDirection w:val="lrTb"/>
            <w:noWrap w:val="false"/>
          </w:tcPr>
          <w:p>
            <w:pPr>
              <w:pStyle w:val="1094"/>
              <w:jc w:val="center"/>
              <w:rPr>
                <w:rFonts w:ascii="宋体" w:hAnsi="宋体" w:eastAsia="宋体" w:cs="宋体"/>
                <w:color w:val="000000"/>
                <w:sz w:val="21"/>
                <w:u w:val="none"/>
              </w:rPr>
            </w:pPr>
            <w:r>
              <w:rPr>
                <w:rFonts w:ascii="宋体" w:hAnsi="宋体" w:eastAsia="宋体" w:cs="宋体"/>
                <w:color w:val="000000"/>
                <w:sz w:val="21"/>
                <w:u w:val="none"/>
              </w:rPr>
              <w:t xml:space="preserve">2</w:t>
            </w:r>
            <w:r/>
          </w:p>
        </w:tc>
        <w:tc>
          <w:tcPr>
            <w:tcMar>
              <w:top w:w="100" w:type="dxa"/>
              <w:bottom w:w="100" w:type="dxa"/>
            </w:tcMar>
            <w:tcW w:w="1395" w:type="dxa"/>
            <w:vAlign w:val="center"/>
            <w:textDirection w:val="lrTb"/>
            <w:noWrap w:val="false"/>
          </w:tcPr>
          <w:p>
            <w:pPr>
              <w:pStyle w:val="1094"/>
              <w:jc w:val="center"/>
              <w:rPr>
                <w:rFonts w:ascii="宋体" w:hAnsi="宋体" w:eastAsia="宋体" w:cs="宋体"/>
                <w:color w:val="000000"/>
                <w:sz w:val="21"/>
                <w:u w:val="none"/>
              </w:rPr>
            </w:pPr>
            <w:r>
              <w:rPr>
                <w:rFonts w:ascii="宋体" w:hAnsi="宋体" w:eastAsia="宋体" w:cs="宋体"/>
                <w:color w:val="000000"/>
                <w:sz w:val="21"/>
                <w:u w:val="none"/>
              </w:rPr>
              <w:t xml:space="preserve">具有良好的商业信誉和健全的财务会计制度</w:t>
            </w:r>
            <w:r/>
          </w:p>
        </w:tc>
        <w:tc>
          <w:tcPr>
            <w:tcMar>
              <w:top w:w="100" w:type="dxa"/>
              <w:bottom w:w="100" w:type="dxa"/>
            </w:tcMar>
            <w:tcW w:w="7730" w:type="dxa"/>
            <w:vAlign w:val="center"/>
            <w:textDirection w:val="lrTb"/>
            <w:noWrap w:val="false"/>
          </w:tcPr>
          <w:p>
            <w:pPr>
              <w:pStyle w:val="1094"/>
              <w:jc w:val="center"/>
              <w:rPr>
                <w:rFonts w:ascii="宋体" w:hAnsi="宋体" w:eastAsia="宋体" w:cs="宋体"/>
                <w:color w:val="000000"/>
                <w:sz w:val="21"/>
                <w:u w:val="none"/>
              </w:rPr>
            </w:pPr>
            <w:r>
              <w:rPr>
                <w:rFonts w:hint="eastAsia" w:ascii="宋体" w:hAnsi="宋体" w:eastAsia="宋体" w:cs="宋体"/>
                <w:color w:val="000000"/>
                <w:sz w:val="21"/>
                <w:u w:val="none"/>
              </w:rPr>
              <w:t xml:space="preserve">提供2024</w:t>
            </w:r>
            <w:r>
              <w:rPr>
                <w:rFonts w:hint="eastAsia" w:ascii="宋体" w:hAnsi="宋体" w:eastAsia="宋体" w:cs="宋体"/>
                <w:color w:val="000000"/>
                <w:sz w:val="21"/>
                <w:u w:val="none"/>
                <w:lang w:val="en-US" w:eastAsia="zh-CN"/>
              </w:rPr>
              <w:t xml:space="preserve">或2025</w:t>
            </w:r>
            <w:r>
              <w:rPr>
                <w:rFonts w:hint="eastAsia" w:ascii="宋体" w:hAnsi="宋体" w:eastAsia="宋体" w:cs="宋体"/>
                <w:color w:val="000000"/>
                <w:sz w:val="21"/>
                <w:u w:val="none"/>
              </w:rPr>
              <w:t xml:space="preserve">年度财务报告，成立不满一年的提供至少一个月财务报告，或银行出具的资信证明，或财政部门认可的政府采购专业担保机构出具的磋商担保函等，或者提供资格承诺函。</w:t>
            </w:r>
            <w:r/>
          </w:p>
        </w:tc>
      </w:tr>
      <w:tr>
        <w:trPr/>
        <w:tc>
          <w:tcPr>
            <w:tcMar>
              <w:top w:w="100" w:type="dxa"/>
              <w:bottom w:w="100" w:type="dxa"/>
            </w:tcMar>
            <w:tcW w:w="457" w:type="dxa"/>
            <w:vAlign w:val="center"/>
            <w:textDirection w:val="lrTb"/>
            <w:noWrap w:val="false"/>
          </w:tcPr>
          <w:p>
            <w:pPr>
              <w:pStyle w:val="1094"/>
              <w:jc w:val="center"/>
              <w:rPr>
                <w:rFonts w:ascii="宋体" w:hAnsi="宋体" w:eastAsia="宋体" w:cs="宋体"/>
                <w:color w:val="000000"/>
                <w:sz w:val="21"/>
                <w:u w:val="none"/>
              </w:rPr>
            </w:pPr>
            <w:r>
              <w:rPr>
                <w:rFonts w:ascii="宋体" w:hAnsi="宋体" w:eastAsia="宋体" w:cs="宋体"/>
                <w:color w:val="000000"/>
                <w:sz w:val="21"/>
                <w:u w:val="none"/>
              </w:rPr>
              <w:t xml:space="preserve">3</w:t>
            </w:r>
            <w:r/>
          </w:p>
        </w:tc>
        <w:tc>
          <w:tcPr>
            <w:tcMar>
              <w:top w:w="100" w:type="dxa"/>
              <w:bottom w:w="100" w:type="dxa"/>
            </w:tcMar>
            <w:tcW w:w="1395" w:type="dxa"/>
            <w:vAlign w:val="center"/>
            <w:textDirection w:val="lrTb"/>
            <w:noWrap w:val="false"/>
          </w:tcPr>
          <w:p>
            <w:pPr>
              <w:pStyle w:val="1094"/>
              <w:jc w:val="center"/>
              <w:rPr>
                <w:rFonts w:ascii="宋体" w:hAnsi="宋体" w:eastAsia="宋体" w:cs="宋体"/>
                <w:color w:val="000000"/>
                <w:sz w:val="21"/>
                <w:u w:val="none"/>
              </w:rPr>
            </w:pPr>
            <w:r>
              <w:rPr>
                <w:rFonts w:ascii="宋体" w:hAnsi="宋体" w:eastAsia="宋体" w:cs="宋体"/>
                <w:color w:val="000000"/>
                <w:sz w:val="21"/>
                <w:u w:val="none"/>
              </w:rPr>
              <w:t xml:space="preserve">具有履行合同所必需的设备和专业技术能力</w:t>
            </w:r>
            <w:r/>
          </w:p>
        </w:tc>
        <w:tc>
          <w:tcPr>
            <w:tcMar>
              <w:top w:w="100" w:type="dxa"/>
              <w:bottom w:w="100" w:type="dxa"/>
            </w:tcMar>
            <w:tcW w:w="7730" w:type="dxa"/>
            <w:vAlign w:val="center"/>
            <w:textDirection w:val="lrTb"/>
            <w:noWrap w:val="false"/>
          </w:tcPr>
          <w:p>
            <w:pPr>
              <w:pStyle w:val="1094"/>
              <w:jc w:val="center"/>
              <w:rPr>
                <w:rFonts w:ascii="宋体" w:hAnsi="宋体" w:eastAsia="宋体" w:cs="宋体"/>
                <w:color w:val="000000"/>
                <w:sz w:val="21"/>
                <w:u w:val="none"/>
              </w:rPr>
            </w:pPr>
            <w:r>
              <w:rPr>
                <w:rFonts w:hint="eastAsia" w:ascii="宋体" w:hAnsi="宋体" w:eastAsia="宋体" w:cs="宋体"/>
                <w:color w:val="000000"/>
                <w:sz w:val="21"/>
                <w:u w:val="none"/>
              </w:rPr>
              <w:t xml:space="preserve">提供具有履行合同所必需的设备和专业技术能力的书面声明或者提供资格承诺函。</w:t>
            </w:r>
            <w:r/>
          </w:p>
        </w:tc>
      </w:tr>
      <w:tr>
        <w:trPr>
          <w:trHeight w:val="899"/>
        </w:trPr>
        <w:tc>
          <w:tcPr>
            <w:tcMar>
              <w:top w:w="100" w:type="dxa"/>
              <w:bottom w:w="100" w:type="dxa"/>
            </w:tcMar>
            <w:tcW w:w="457" w:type="dxa"/>
            <w:vAlign w:val="center"/>
            <w:textDirection w:val="lrTb"/>
            <w:noWrap w:val="false"/>
          </w:tcPr>
          <w:p>
            <w:pPr>
              <w:pStyle w:val="1094"/>
              <w:jc w:val="center"/>
              <w:rPr>
                <w:rFonts w:ascii="宋体" w:hAnsi="宋体" w:eastAsia="宋体" w:cs="宋体"/>
                <w:color w:val="000000"/>
                <w:sz w:val="21"/>
                <w:u w:val="none"/>
              </w:rPr>
            </w:pPr>
            <w:r>
              <w:rPr>
                <w:rFonts w:ascii="宋体" w:hAnsi="宋体" w:eastAsia="宋体" w:cs="宋体"/>
                <w:color w:val="000000"/>
                <w:sz w:val="21"/>
                <w:u w:val="none"/>
              </w:rPr>
              <w:t xml:space="preserve">4</w:t>
            </w:r>
            <w:r/>
          </w:p>
        </w:tc>
        <w:tc>
          <w:tcPr>
            <w:tcMar>
              <w:top w:w="100" w:type="dxa"/>
              <w:bottom w:w="100" w:type="dxa"/>
            </w:tcMar>
            <w:tcW w:w="1395" w:type="dxa"/>
            <w:vAlign w:val="center"/>
            <w:textDirection w:val="lrTb"/>
            <w:noWrap w:val="false"/>
          </w:tcPr>
          <w:p>
            <w:pPr>
              <w:pStyle w:val="1094"/>
              <w:jc w:val="center"/>
              <w:rPr>
                <w:rFonts w:ascii="宋体" w:hAnsi="宋体" w:eastAsia="宋体" w:cs="宋体"/>
                <w:color w:val="000000"/>
                <w:sz w:val="21"/>
                <w:u w:val="none"/>
              </w:rPr>
            </w:pPr>
            <w:r>
              <w:rPr>
                <w:rFonts w:ascii="宋体" w:hAnsi="宋体" w:eastAsia="宋体" w:cs="宋体"/>
                <w:color w:val="000000"/>
                <w:sz w:val="21"/>
                <w:u w:val="none"/>
              </w:rPr>
              <w:t xml:space="preserve">有依法缴纳税收和社会保障资金的良好记录</w:t>
            </w:r>
            <w:r/>
          </w:p>
        </w:tc>
        <w:tc>
          <w:tcPr>
            <w:tcMar>
              <w:top w:w="100" w:type="dxa"/>
              <w:bottom w:w="100" w:type="dxa"/>
            </w:tcMar>
            <w:tcW w:w="7730" w:type="dxa"/>
            <w:vAlign w:val="center"/>
            <w:textDirection w:val="lrTb"/>
            <w:noWrap w:val="false"/>
          </w:tcPr>
          <w:p>
            <w:pPr>
              <w:pStyle w:val="1094"/>
              <w:jc w:val="center"/>
              <w:rPr>
                <w:rFonts w:ascii="宋体" w:hAnsi="宋体" w:eastAsia="宋体" w:cs="宋体"/>
                <w:color w:val="000000"/>
                <w:sz w:val="21"/>
                <w:u w:val="none"/>
              </w:rPr>
            </w:pPr>
            <w:r>
              <w:rPr>
                <w:rFonts w:hint="eastAsia" w:ascii="宋体" w:hAnsi="宋体" w:eastAsia="宋体" w:cs="宋体"/>
                <w:color w:val="000000"/>
                <w:sz w:val="21"/>
                <w:u w:val="none"/>
              </w:rPr>
              <w:t xml:space="preserve">提供参加本次政府采购活动前半年内至少一个月依法缴纳税收和社会保险的凭据，或者提供资格承诺函。</w:t>
            </w:r>
            <w:r/>
          </w:p>
        </w:tc>
      </w:tr>
      <w:tr>
        <w:trPr/>
        <w:tc>
          <w:tcPr>
            <w:tcMar>
              <w:top w:w="100" w:type="dxa"/>
              <w:bottom w:w="100" w:type="dxa"/>
            </w:tcMar>
            <w:tcW w:w="457" w:type="dxa"/>
            <w:vAlign w:val="center"/>
            <w:textDirection w:val="lrTb"/>
            <w:noWrap w:val="false"/>
          </w:tcPr>
          <w:p>
            <w:pPr>
              <w:pStyle w:val="1094"/>
              <w:jc w:val="center"/>
              <w:rPr>
                <w:rFonts w:ascii="宋体" w:hAnsi="宋体" w:eastAsia="宋体" w:cs="宋体"/>
                <w:color w:val="000000"/>
                <w:sz w:val="21"/>
                <w:u w:val="none"/>
              </w:rPr>
            </w:pPr>
            <w:r>
              <w:rPr>
                <w:rFonts w:ascii="宋体" w:hAnsi="宋体" w:eastAsia="宋体" w:cs="宋体"/>
                <w:color w:val="000000"/>
                <w:sz w:val="21"/>
                <w:u w:val="none"/>
              </w:rPr>
              <w:t xml:space="preserve">5</w:t>
            </w:r>
            <w:r/>
          </w:p>
        </w:tc>
        <w:tc>
          <w:tcPr>
            <w:tcMar>
              <w:top w:w="100" w:type="dxa"/>
              <w:bottom w:w="100" w:type="dxa"/>
            </w:tcMar>
            <w:tcW w:w="1395" w:type="dxa"/>
            <w:vAlign w:val="center"/>
            <w:textDirection w:val="lrTb"/>
            <w:noWrap w:val="false"/>
          </w:tcPr>
          <w:p>
            <w:pPr>
              <w:pStyle w:val="1094"/>
              <w:jc w:val="center"/>
              <w:rPr>
                <w:rFonts w:ascii="宋体" w:hAnsi="宋体" w:eastAsia="宋体" w:cs="宋体"/>
                <w:color w:val="000000"/>
                <w:sz w:val="21"/>
                <w:u w:val="none"/>
              </w:rPr>
            </w:pPr>
            <w:r>
              <w:rPr>
                <w:rFonts w:ascii="宋体" w:hAnsi="宋体" w:eastAsia="宋体" w:cs="宋体"/>
                <w:color w:val="000000"/>
                <w:sz w:val="21"/>
                <w:u w:val="none"/>
              </w:rPr>
              <w:t xml:space="preserve">参加政府采购活动前三年内，在经营活动中没有重大违法记录</w:t>
            </w:r>
            <w:r/>
          </w:p>
        </w:tc>
        <w:tc>
          <w:tcPr>
            <w:tcMar>
              <w:top w:w="100" w:type="dxa"/>
              <w:bottom w:w="100" w:type="dxa"/>
            </w:tcMar>
            <w:tcW w:w="7730" w:type="dxa"/>
            <w:vAlign w:val="center"/>
            <w:textDirection w:val="lrTb"/>
            <w:noWrap w:val="false"/>
          </w:tcPr>
          <w:p>
            <w:pPr>
              <w:pStyle w:val="1094"/>
              <w:jc w:val="center"/>
              <w:rPr>
                <w:rFonts w:ascii="宋体" w:hAnsi="宋体" w:eastAsia="宋体" w:cs="宋体"/>
                <w:color w:val="000000"/>
                <w:sz w:val="21"/>
                <w:u w:val="none"/>
              </w:rPr>
            </w:pPr>
            <w:r>
              <w:rPr>
                <w:rFonts w:ascii="宋体" w:hAnsi="宋体" w:eastAsia="宋体" w:cs="宋体"/>
                <w:color w:val="000000"/>
                <w:sz w:val="21"/>
                <w:u w:val="none"/>
              </w:rPr>
              <w:t xml:space="preserve">（1）磋商承诺函</w:t>
            </w:r>
            <w:r>
              <w:rPr>
                <w:rFonts w:hint="eastAsia" w:ascii="宋体" w:hAnsi="宋体" w:eastAsia="宋体" w:cs="宋体"/>
                <w:color w:val="000000"/>
                <w:sz w:val="21"/>
                <w:u w:val="none"/>
              </w:rPr>
              <w:t xml:space="preserve">或者提供资格承诺函</w:t>
            </w:r>
            <w:r>
              <w:rPr>
                <w:rFonts w:ascii="宋体" w:hAnsi="宋体" w:eastAsia="宋体" w:cs="宋体"/>
                <w:color w:val="000000"/>
                <w:sz w:val="21"/>
                <w:u w:val="none"/>
              </w:rPr>
              <w:t xml:space="preserve">。</w:t>
            </w:r>
            <w:r/>
          </w:p>
          <w:p>
            <w:pPr>
              <w:pStyle w:val="1094"/>
              <w:jc w:val="center"/>
              <w:rPr>
                <w:rFonts w:ascii="宋体" w:hAnsi="宋体" w:eastAsia="宋体" w:cs="宋体"/>
                <w:color w:val="000000"/>
                <w:sz w:val="21"/>
                <w:u w:val="none"/>
              </w:rPr>
            </w:pPr>
            <w:r>
              <w:rPr>
                <w:rFonts w:ascii="宋体" w:hAnsi="宋体" w:eastAsia="宋体" w:cs="宋体"/>
                <w:color w:val="000000"/>
                <w:sz w:val="21"/>
                <w:u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rHeight w:val="1099"/>
        </w:trPr>
        <w:tc>
          <w:tcPr>
            <w:tcMar>
              <w:top w:w="100" w:type="dxa"/>
              <w:bottom w:w="100" w:type="dxa"/>
            </w:tcMar>
            <w:tcW w:w="457" w:type="dxa"/>
            <w:vAlign w:val="center"/>
            <w:textDirection w:val="lrTb"/>
            <w:noWrap w:val="false"/>
          </w:tcPr>
          <w:p>
            <w:pPr>
              <w:pStyle w:val="1094"/>
              <w:jc w:val="center"/>
              <w:rPr>
                <w:rFonts w:ascii="宋体" w:hAnsi="宋体" w:eastAsia="宋体" w:cs="宋体"/>
                <w:color w:val="000000"/>
                <w:sz w:val="21"/>
                <w:u w:val="none"/>
              </w:rPr>
            </w:pPr>
            <w:r>
              <w:rPr>
                <w:rFonts w:ascii="宋体" w:hAnsi="宋体" w:eastAsia="宋体" w:cs="宋体"/>
                <w:color w:val="000000"/>
                <w:sz w:val="21"/>
                <w:u w:val="none"/>
              </w:rPr>
              <w:t xml:space="preserve">6</w:t>
            </w:r>
            <w:r/>
          </w:p>
        </w:tc>
        <w:tc>
          <w:tcPr>
            <w:tcMar>
              <w:top w:w="100" w:type="dxa"/>
              <w:bottom w:w="100" w:type="dxa"/>
            </w:tcMar>
            <w:tcW w:w="1395" w:type="dxa"/>
            <w:vAlign w:val="center"/>
            <w:textDirection w:val="lrTb"/>
            <w:noWrap w:val="false"/>
          </w:tcPr>
          <w:p>
            <w:pPr>
              <w:pStyle w:val="1094"/>
              <w:jc w:val="center"/>
              <w:rPr>
                <w:rFonts w:ascii="宋体" w:hAnsi="宋体" w:eastAsia="宋体" w:cs="宋体"/>
                <w:color w:val="000000"/>
                <w:sz w:val="21"/>
                <w:u w:val="none"/>
              </w:rPr>
            </w:pPr>
            <w:r>
              <w:rPr>
                <w:rFonts w:hint="eastAsia" w:ascii="宋体" w:hAnsi="宋体" w:eastAsia="宋体" w:cs="宋体"/>
                <w:color w:val="000000"/>
                <w:sz w:val="21"/>
                <w:u w:val="none"/>
              </w:rPr>
              <w:t xml:space="preserve">落实政府采购政策需满足的资格要求</w:t>
            </w:r>
            <w:r/>
          </w:p>
        </w:tc>
        <w:tc>
          <w:tcPr>
            <w:tcMar>
              <w:top w:w="100" w:type="dxa"/>
              <w:bottom w:w="100" w:type="dxa"/>
            </w:tcMar>
            <w:tcW w:w="7730" w:type="dxa"/>
            <w:vAlign w:val="center"/>
            <w:textDirection w:val="lrTb"/>
            <w:noWrap w:val="false"/>
          </w:tcPr>
          <w:p>
            <w:pPr>
              <w:pStyle w:val="1094"/>
              <w:jc w:val="center"/>
              <w:rPr>
                <w:rFonts w:ascii="宋体" w:hAnsi="宋体" w:eastAsia="宋体" w:cs="宋体"/>
                <w:b/>
                <w:color w:val="000000"/>
                <w:sz w:val="21"/>
                <w:szCs w:val="21"/>
                <w:u w:val="none"/>
              </w:rPr>
            </w:pPr>
            <w:r>
              <w:rPr>
                <w:rFonts w:hint="eastAsia" w:ascii="宋体" w:hAnsi="宋体" w:eastAsia="宋体" w:cs="宋体"/>
                <w:color w:val="000000"/>
                <w:sz w:val="21"/>
                <w:u w:val="none"/>
              </w:rPr>
              <w:t xml:space="preserve">本项目属于专门面向中小微企业采购的项目。(提供中小企业声明函）。</w:t>
            </w:r>
            <w:r/>
          </w:p>
        </w:tc>
      </w:tr>
    </w:tbl>
    <w:p>
      <w:pPr>
        <w:rPr>
          <w:color w:val="000000"/>
          <w:u w:val="none"/>
        </w:rPr>
      </w:pPr>
      <w:r>
        <w:rPr>
          <w:rFonts w:hint="eastAsia"/>
          <w:color w:val="000000"/>
          <w:sz w:val="20"/>
          <w:u w:val="none"/>
        </w:rPr>
        <w:t xml:space="preserve"> </w:t>
      </w:r>
      <w:bookmarkEnd w:id="392"/>
      <w:r/>
      <w:bookmarkStart w:id="393" w:name="EB211f29febcfc44e799be42b999126ad4"/>
      <w:r>
        <w:rPr>
          <w:rFonts w:hint="eastAsia"/>
          <w:color w:val="000000"/>
          <w:sz w:val="20"/>
          <w:u w:val="none"/>
        </w:rPr>
        <w:t xml:space="preserve"> </w:t>
      </w:r>
      <w:bookmarkEnd w:id="393"/>
      <w:r/>
      <w:r/>
    </w:p>
    <w:p>
      <w:pPr>
        <w:pStyle w:val="1034"/>
        <w:ind w:firstLine="321"/>
        <w:jc w:val="left"/>
        <w:spacing w:before="0" w:after="0" w:line="400" w:lineRule="exact"/>
        <w:rPr>
          <w:rFonts w:ascii="宋体" w:hAnsi="宋体" w:eastAsia="宋体"/>
          <w:color w:val="000000"/>
          <w:sz w:val="32"/>
          <w:u w:val="none"/>
          <w:lang w:eastAsia="zh-CN"/>
        </w:rPr>
      </w:pPr>
      <w:r/>
      <w:bookmarkStart w:id="394" w:name="_Toc73365517"/>
      <w:r/>
      <w:bookmarkStart w:id="395" w:name="_Toc73364904"/>
      <w:r/>
      <w:bookmarkStart w:id="396" w:name="_Toc256000061"/>
      <w:r>
        <w:rPr>
          <w:rFonts w:hint="eastAsia" w:ascii="宋体" w:hAnsi="宋体" w:eastAsia="宋体"/>
          <w:color w:val="000000"/>
          <w:sz w:val="32"/>
          <w:u w:val="none"/>
          <w:lang w:eastAsia="zh-CN"/>
        </w:rPr>
        <w:t xml:space="preserve">4．磋商响应文件的有效性、完整性和响应程度审查</w:t>
      </w:r>
      <w:bookmarkEnd w:id="394"/>
      <w:r/>
      <w:bookmarkEnd w:id="395"/>
      <w:r/>
      <w:bookmarkEnd w:id="396"/>
      <w:r/>
      <w:r/>
    </w:p>
    <w:p>
      <w:pPr>
        <w:rPr>
          <w:color w:val="000000"/>
          <w:u w:val="none"/>
        </w:rPr>
      </w:pPr>
      <w:r/>
      <w:bookmarkStart w:id="397" w:name="EB5ff77f62222b43a48ee845bbfe38b65b"/>
      <w:r/>
      <w:r/>
    </w:p>
    <w:tbl>
      <w:tblPr>
        <w:tblStyle w:val="778"/>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47"/>
        <w:gridCol w:w="1392"/>
        <w:gridCol w:w="7643"/>
      </w:tblGrid>
      <w:tr>
        <w:trPr/>
        <w:tc>
          <w:tcPr>
            <w:tcMar>
              <w:top w:w="100" w:type="dxa"/>
              <w:bottom w:w="100" w:type="dxa"/>
            </w:tcMar>
            <w:tcW w:w="547" w:type="dxa"/>
            <w:vAlign w:val="center"/>
            <w:textDirection w:val="lrTb"/>
            <w:noWrap w:val="false"/>
          </w:tcPr>
          <w:p>
            <w:pPr>
              <w:pStyle w:val="1095"/>
              <w:jc w:val="center"/>
              <w:rPr>
                <w:rFonts w:ascii="宋体" w:hAnsi="宋体" w:eastAsia="宋体" w:cs="宋体"/>
                <w:color w:val="000000"/>
                <w:sz w:val="21"/>
                <w:u w:val="none"/>
              </w:rPr>
            </w:pPr>
            <w:r>
              <w:rPr>
                <w:rFonts w:ascii="宋体" w:hAnsi="宋体" w:eastAsia="宋体" w:cs="宋体"/>
                <w:color w:val="000000"/>
                <w:sz w:val="21"/>
                <w:u w:val="none"/>
              </w:rPr>
              <w:t xml:space="preserve">序号</w:t>
            </w:r>
            <w:r/>
          </w:p>
        </w:tc>
        <w:tc>
          <w:tcPr>
            <w:tcMar>
              <w:top w:w="100" w:type="dxa"/>
              <w:bottom w:w="100" w:type="dxa"/>
            </w:tcMar>
            <w:tcW w:w="1392" w:type="dxa"/>
            <w:vAlign w:val="center"/>
            <w:textDirection w:val="lrTb"/>
            <w:noWrap w:val="false"/>
          </w:tcPr>
          <w:p>
            <w:pPr>
              <w:pStyle w:val="1095"/>
              <w:jc w:val="center"/>
              <w:rPr>
                <w:rFonts w:ascii="宋体" w:hAnsi="宋体" w:eastAsia="宋体" w:cs="宋体"/>
                <w:color w:val="000000"/>
                <w:sz w:val="21"/>
                <w:u w:val="none"/>
              </w:rPr>
            </w:pPr>
            <w:r>
              <w:rPr>
                <w:rFonts w:ascii="宋体" w:hAnsi="宋体" w:eastAsia="宋体" w:cs="宋体"/>
                <w:color w:val="000000"/>
                <w:sz w:val="21"/>
                <w:u w:val="none"/>
              </w:rPr>
              <w:t xml:space="preserve">审查要素</w:t>
            </w:r>
            <w:r/>
          </w:p>
        </w:tc>
        <w:tc>
          <w:tcPr>
            <w:tcMar>
              <w:top w:w="100" w:type="dxa"/>
              <w:bottom w:w="100" w:type="dxa"/>
            </w:tcMar>
            <w:tcW w:w="7643" w:type="dxa"/>
            <w:vAlign w:val="center"/>
            <w:textDirection w:val="lrTb"/>
            <w:noWrap w:val="false"/>
          </w:tcPr>
          <w:p>
            <w:pPr>
              <w:pStyle w:val="1095"/>
              <w:jc w:val="center"/>
              <w:rPr>
                <w:rFonts w:ascii="宋体" w:hAnsi="宋体" w:eastAsia="宋体" w:cs="宋体"/>
                <w:color w:val="000000"/>
                <w:sz w:val="21"/>
                <w:u w:val="none"/>
              </w:rPr>
            </w:pPr>
            <w:r>
              <w:rPr>
                <w:rFonts w:ascii="宋体" w:hAnsi="宋体" w:eastAsia="宋体" w:cs="宋体"/>
                <w:color w:val="000000"/>
                <w:sz w:val="21"/>
                <w:u w:val="none"/>
              </w:rPr>
              <w:t xml:space="preserve">审查内容</w:t>
            </w:r>
            <w:r/>
          </w:p>
        </w:tc>
      </w:tr>
      <w:tr>
        <w:trPr/>
        <w:tc>
          <w:tcPr>
            <w:tcMar>
              <w:top w:w="100" w:type="dxa"/>
              <w:bottom w:w="100" w:type="dxa"/>
            </w:tcMar>
            <w:tcW w:w="547" w:type="dxa"/>
            <w:vAlign w:val="center"/>
            <w:textDirection w:val="lrTb"/>
            <w:noWrap w:val="false"/>
          </w:tcPr>
          <w:p>
            <w:pPr>
              <w:pStyle w:val="1095"/>
              <w:jc w:val="center"/>
              <w:rPr>
                <w:rFonts w:ascii="宋体" w:hAnsi="宋体" w:eastAsia="宋体" w:cs="宋体"/>
                <w:color w:val="000000"/>
                <w:sz w:val="21"/>
                <w:u w:val="none"/>
              </w:rPr>
            </w:pPr>
            <w:r>
              <w:rPr>
                <w:rFonts w:ascii="宋体" w:hAnsi="宋体" w:eastAsia="宋体" w:cs="宋体"/>
                <w:color w:val="000000"/>
                <w:sz w:val="21"/>
                <w:u w:val="none"/>
              </w:rPr>
              <w:t xml:space="preserve">1</w:t>
            </w:r>
            <w:r/>
          </w:p>
        </w:tc>
        <w:tc>
          <w:tcPr>
            <w:tcMar>
              <w:top w:w="100" w:type="dxa"/>
              <w:bottom w:w="100" w:type="dxa"/>
            </w:tcMar>
            <w:tcW w:w="1392" w:type="dxa"/>
            <w:vAlign w:val="center"/>
            <w:textDirection w:val="lrTb"/>
            <w:noWrap w:val="false"/>
          </w:tcPr>
          <w:p>
            <w:pPr>
              <w:pStyle w:val="1095"/>
              <w:jc w:val="center"/>
              <w:rPr>
                <w:rFonts w:ascii="宋体" w:hAnsi="宋体" w:eastAsia="宋体" w:cs="宋体"/>
                <w:color w:val="000000"/>
                <w:sz w:val="21"/>
                <w:u w:val="none"/>
              </w:rPr>
            </w:pPr>
            <w:r>
              <w:rPr>
                <w:rFonts w:ascii="宋体" w:hAnsi="宋体" w:eastAsia="宋体" w:cs="宋体"/>
                <w:color w:val="000000"/>
                <w:sz w:val="21"/>
                <w:u w:val="none"/>
              </w:rPr>
              <w:t xml:space="preserve">响应文件有效性</w:t>
            </w:r>
            <w:r/>
          </w:p>
        </w:tc>
        <w:tc>
          <w:tcPr>
            <w:tcMar>
              <w:top w:w="100" w:type="dxa"/>
              <w:bottom w:w="100" w:type="dxa"/>
            </w:tcMar>
            <w:tcW w:w="7643" w:type="dxa"/>
            <w:vAlign w:val="center"/>
            <w:textDirection w:val="lrTb"/>
            <w:noWrap w:val="false"/>
          </w:tcPr>
          <w:p>
            <w:pPr>
              <w:pStyle w:val="1095"/>
              <w:jc w:val="center"/>
              <w:rPr>
                <w:rFonts w:ascii="宋体" w:hAnsi="宋体" w:eastAsia="宋体" w:cs="宋体"/>
                <w:color w:val="000000"/>
                <w:sz w:val="21"/>
                <w:u w:val="none"/>
              </w:rPr>
            </w:pPr>
            <w:r>
              <w:rPr>
                <w:rFonts w:ascii="宋体" w:hAnsi="宋体" w:eastAsia="宋体" w:cs="宋体"/>
                <w:color w:val="000000"/>
                <w:sz w:val="21"/>
                <w:u w:val="none"/>
              </w:rPr>
              <w:t xml:space="preserve">电子响应文件的有效电子签章。磋商报价。若有委托代理人，供应商为委托代理人缴纳的社保证明材料。未发现属无效响应的其他情形。</w:t>
            </w:r>
            <w:r/>
          </w:p>
        </w:tc>
      </w:tr>
      <w:tr>
        <w:trPr/>
        <w:tc>
          <w:tcPr>
            <w:tcMar>
              <w:top w:w="100" w:type="dxa"/>
              <w:bottom w:w="100" w:type="dxa"/>
            </w:tcMar>
            <w:tcW w:w="547" w:type="dxa"/>
            <w:vAlign w:val="center"/>
            <w:textDirection w:val="lrTb"/>
            <w:noWrap w:val="false"/>
          </w:tcPr>
          <w:p>
            <w:pPr>
              <w:pStyle w:val="1095"/>
              <w:jc w:val="center"/>
              <w:rPr>
                <w:rFonts w:ascii="宋体" w:hAnsi="宋体" w:eastAsia="宋体" w:cs="宋体"/>
                <w:color w:val="000000"/>
                <w:sz w:val="21"/>
                <w:u w:val="none"/>
              </w:rPr>
            </w:pPr>
            <w:r>
              <w:rPr>
                <w:rFonts w:ascii="宋体" w:hAnsi="宋体" w:eastAsia="宋体" w:cs="宋体"/>
                <w:color w:val="000000"/>
                <w:sz w:val="21"/>
                <w:u w:val="none"/>
              </w:rPr>
              <w:t xml:space="preserve">2</w:t>
            </w:r>
            <w:r/>
          </w:p>
        </w:tc>
        <w:tc>
          <w:tcPr>
            <w:tcMar>
              <w:top w:w="100" w:type="dxa"/>
              <w:bottom w:w="100" w:type="dxa"/>
            </w:tcMar>
            <w:tcW w:w="1392" w:type="dxa"/>
            <w:vAlign w:val="center"/>
            <w:textDirection w:val="lrTb"/>
            <w:noWrap w:val="false"/>
          </w:tcPr>
          <w:p>
            <w:pPr>
              <w:pStyle w:val="1095"/>
              <w:jc w:val="center"/>
              <w:rPr>
                <w:rFonts w:ascii="宋体" w:hAnsi="宋体" w:eastAsia="宋体" w:cs="宋体"/>
                <w:color w:val="000000"/>
                <w:sz w:val="21"/>
                <w:u w:val="none"/>
              </w:rPr>
            </w:pPr>
            <w:r>
              <w:rPr>
                <w:rFonts w:ascii="宋体" w:hAnsi="宋体" w:eastAsia="宋体" w:cs="宋体"/>
                <w:color w:val="000000"/>
                <w:sz w:val="21"/>
                <w:u w:val="none"/>
              </w:rPr>
              <w:t xml:space="preserve">响应文件完整性</w:t>
            </w:r>
            <w:r/>
          </w:p>
        </w:tc>
        <w:tc>
          <w:tcPr>
            <w:tcMar>
              <w:top w:w="100" w:type="dxa"/>
              <w:bottom w:w="100" w:type="dxa"/>
            </w:tcMar>
            <w:tcW w:w="7643" w:type="dxa"/>
            <w:vAlign w:val="center"/>
            <w:textDirection w:val="lrTb"/>
            <w:noWrap w:val="false"/>
          </w:tcPr>
          <w:p>
            <w:pPr>
              <w:pStyle w:val="1095"/>
              <w:jc w:val="center"/>
              <w:rPr>
                <w:rFonts w:ascii="宋体" w:hAnsi="宋体" w:eastAsia="宋体" w:cs="宋体"/>
                <w:color w:val="000000"/>
                <w:sz w:val="21"/>
                <w:u w:val="none"/>
              </w:rPr>
            </w:pPr>
            <w:r>
              <w:rPr>
                <w:rFonts w:ascii="宋体" w:hAnsi="宋体" w:eastAsia="宋体" w:cs="宋体"/>
                <w:color w:val="000000"/>
                <w:sz w:val="21"/>
                <w:u w:val="none"/>
              </w:rPr>
              <w:t xml:space="preserve">响应文件内容完整性、齐全性。</w:t>
            </w:r>
            <w:r/>
          </w:p>
        </w:tc>
      </w:tr>
      <w:tr>
        <w:trPr/>
        <w:tc>
          <w:tcPr>
            <w:tcMar>
              <w:top w:w="100" w:type="dxa"/>
              <w:bottom w:w="100" w:type="dxa"/>
            </w:tcMar>
            <w:tcW w:w="547" w:type="dxa"/>
            <w:vAlign w:val="center"/>
            <w:textDirection w:val="lrTb"/>
            <w:noWrap w:val="false"/>
          </w:tcPr>
          <w:p>
            <w:pPr>
              <w:pStyle w:val="1095"/>
              <w:jc w:val="center"/>
              <w:rPr>
                <w:rFonts w:ascii="宋体" w:hAnsi="宋体" w:eastAsia="宋体" w:cs="宋体"/>
                <w:color w:val="000000"/>
                <w:sz w:val="21"/>
                <w:u w:val="none"/>
              </w:rPr>
            </w:pPr>
            <w:r>
              <w:rPr>
                <w:rFonts w:ascii="宋体" w:hAnsi="宋体" w:eastAsia="宋体" w:cs="宋体"/>
                <w:color w:val="000000"/>
                <w:sz w:val="21"/>
                <w:u w:val="none"/>
              </w:rPr>
              <w:t xml:space="preserve">3</w:t>
            </w:r>
            <w:r/>
          </w:p>
        </w:tc>
        <w:tc>
          <w:tcPr>
            <w:tcMar>
              <w:top w:w="100" w:type="dxa"/>
              <w:bottom w:w="100" w:type="dxa"/>
            </w:tcMar>
            <w:tcW w:w="1392" w:type="dxa"/>
            <w:vAlign w:val="center"/>
            <w:textDirection w:val="lrTb"/>
            <w:noWrap w:val="false"/>
          </w:tcPr>
          <w:p>
            <w:pPr>
              <w:pStyle w:val="1095"/>
              <w:jc w:val="center"/>
              <w:rPr>
                <w:rFonts w:ascii="宋体" w:hAnsi="宋体" w:eastAsia="宋体" w:cs="宋体"/>
                <w:color w:val="000000"/>
                <w:sz w:val="21"/>
                <w:u w:val="none"/>
              </w:rPr>
            </w:pPr>
            <w:r>
              <w:rPr>
                <w:rFonts w:ascii="宋体" w:hAnsi="宋体" w:eastAsia="宋体" w:cs="宋体"/>
                <w:color w:val="000000"/>
                <w:sz w:val="21"/>
                <w:u w:val="none"/>
              </w:rPr>
              <w:t xml:space="preserve">对磋商文件响应程度</w:t>
            </w:r>
            <w:r/>
          </w:p>
        </w:tc>
        <w:tc>
          <w:tcPr>
            <w:tcMar>
              <w:top w:w="100" w:type="dxa"/>
              <w:bottom w:w="100" w:type="dxa"/>
            </w:tcMar>
            <w:tcW w:w="7643" w:type="dxa"/>
            <w:vAlign w:val="center"/>
            <w:textDirection w:val="lrTb"/>
            <w:noWrap w:val="false"/>
          </w:tcPr>
          <w:p>
            <w:pPr>
              <w:pStyle w:val="1095"/>
              <w:jc w:val="center"/>
              <w:rPr>
                <w:rFonts w:ascii="宋体" w:hAnsi="宋体" w:eastAsia="宋体" w:cs="宋体"/>
                <w:color w:val="000000"/>
                <w:sz w:val="21"/>
                <w:u w:val="none"/>
              </w:rPr>
            </w:pPr>
            <w:r>
              <w:rPr>
                <w:rFonts w:ascii="宋体" w:hAnsi="宋体" w:eastAsia="宋体" w:cs="宋体"/>
                <w:color w:val="000000"/>
                <w:sz w:val="21"/>
                <w:u w:val="none"/>
              </w:rPr>
              <w:t xml:space="preserve">审查响应文件与磋商文件要求的主要条款、条件和技术规格是否相符，是否存在重大偏离或保留。</w:t>
            </w:r>
            <w:r/>
          </w:p>
        </w:tc>
      </w:tr>
    </w:tbl>
    <w:p>
      <w:pPr>
        <w:rPr>
          <w:color w:val="000000"/>
          <w:sz w:val="20"/>
          <w:u w:val="none"/>
        </w:rPr>
      </w:pPr>
      <w:r>
        <w:rPr>
          <w:rFonts w:hint="eastAsia"/>
          <w:color w:val="000000"/>
          <w:sz w:val="20"/>
          <w:u w:val="none"/>
        </w:rPr>
        <w:t xml:space="preserve"> </w:t>
      </w:r>
      <w:bookmarkEnd w:id="397"/>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34"/>
        <w:ind w:firstLine="321"/>
        <w:jc w:val="left"/>
        <w:spacing w:before="0" w:after="0" w:line="400" w:lineRule="exact"/>
        <w:rPr>
          <w:rFonts w:ascii="宋体" w:hAnsi="宋体" w:eastAsia="宋体"/>
          <w:color w:val="000000"/>
          <w:sz w:val="32"/>
          <w:u w:val="none"/>
          <w:lang w:eastAsia="zh-CN"/>
        </w:rPr>
      </w:pPr>
      <w:r/>
      <w:bookmarkStart w:id="398" w:name="_Toc73365518"/>
      <w:r/>
      <w:bookmarkStart w:id="399" w:name="_Toc256000062"/>
      <w:r/>
      <w:bookmarkStart w:id="400" w:name="_Toc73364905"/>
      <w:r>
        <w:rPr>
          <w:rFonts w:hint="eastAsia" w:ascii="宋体" w:hAnsi="宋体" w:eastAsia="宋体"/>
          <w:color w:val="000000"/>
          <w:sz w:val="32"/>
          <w:u w:val="none"/>
          <w:lang w:eastAsia="zh-CN"/>
        </w:rPr>
        <w:t xml:space="preserve">5．磋商记录</w:t>
      </w:r>
      <w:bookmarkEnd w:id="398"/>
      <w:r/>
      <w:bookmarkEnd w:id="399"/>
      <w:r/>
      <w:bookmarkEnd w:id="400"/>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5.1《磋商记录》包括供应商答复或承诺的内容、磋商文件的变动情况及最后报价等。</w:t>
      </w:r>
      <w:r/>
    </w:p>
    <w:p>
      <w:pPr>
        <w:pStyle w:val="1034"/>
        <w:ind w:firstLine="321"/>
        <w:jc w:val="left"/>
        <w:spacing w:line="400" w:lineRule="exact"/>
        <w:rPr>
          <w:rFonts w:ascii="宋体" w:hAnsi="宋体" w:eastAsia="宋体"/>
          <w:color w:val="000000"/>
          <w:sz w:val="32"/>
          <w:u w:val="none"/>
          <w:lang w:eastAsia="zh-CN"/>
        </w:rPr>
      </w:pPr>
      <w:r/>
      <w:bookmarkStart w:id="401" w:name="_Toc73364906"/>
      <w:r/>
      <w:bookmarkStart w:id="402" w:name="_Toc256000063"/>
      <w:r/>
      <w:bookmarkStart w:id="403" w:name="_Toc73365519"/>
      <w:r>
        <w:rPr>
          <w:rFonts w:hint="eastAsia" w:ascii="宋体" w:hAnsi="宋体" w:eastAsia="宋体"/>
          <w:color w:val="000000"/>
          <w:sz w:val="32"/>
          <w:u w:val="none"/>
          <w:lang w:eastAsia="zh-CN"/>
        </w:rPr>
        <w:t xml:space="preserve">6．综合评分</w:t>
      </w:r>
      <w:bookmarkEnd w:id="389"/>
      <w:r/>
      <w:bookmarkEnd w:id="390"/>
      <w:r/>
      <w:bookmarkEnd w:id="391"/>
      <w:r/>
      <w:bookmarkEnd w:id="401"/>
      <w:r/>
      <w:bookmarkEnd w:id="402"/>
      <w:r/>
      <w:bookmarkEnd w:id="403"/>
      <w:r/>
      <w:r/>
    </w:p>
    <w:p>
      <w:pPr>
        <w:ind w:firstLine="482"/>
        <w:spacing w:line="360" w:lineRule="auto"/>
        <w:widowControl/>
        <w:rPr>
          <w:rFonts w:ascii="宋体" w:hAnsi="宋体"/>
          <w:b/>
          <w:color w:val="000000"/>
          <w:sz w:val="24"/>
          <w:u w:val="none"/>
        </w:rPr>
      </w:pPr>
      <w:r/>
      <w:bookmarkStart w:id="404" w:name="_Toc73364908"/>
      <w:r/>
      <w:bookmarkStart w:id="405" w:name="_Toc73365521"/>
      <w:r/>
      <w:bookmarkStart w:id="406" w:name="_Toc256000066"/>
      <w:r>
        <w:rPr>
          <w:rFonts w:hint="eastAsia" w:ascii="宋体" w:hAnsi="宋体"/>
          <w:b/>
          <w:color w:val="000000"/>
          <w:sz w:val="24"/>
          <w:u w:val="none"/>
        </w:rPr>
        <w:t xml:space="preserve">经磋商确定最终采购需求和提交最后报价的供应商后，磋商小组采用综合评分法对提交最后报价的供应商的磋商响应文件和最后报价进行综合评分，总分100分。</w:t>
      </w:r>
      <w:r/>
    </w:p>
    <w:p>
      <w:pPr>
        <w:rPr>
          <w:color w:val="000000"/>
          <w:u w:val="none"/>
        </w:rPr>
      </w:pPr>
      <w:r/>
      <w:bookmarkStart w:id="407" w:name="EBeb38bac6236d407ea758a92f796301c6"/>
      <w:r/>
      <w:bookmarkEnd w:id="407"/>
      <w:r/>
      <w:r/>
    </w:p>
    <w:tbl>
      <w:tblPr>
        <w:tblStyle w:val="77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5"/>
        <w:gridCol w:w="2395"/>
        <w:gridCol w:w="2396"/>
        <w:gridCol w:w="23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1096"/>
              <w:jc w:val="center"/>
              <w:rPr>
                <w:rFonts w:ascii="宋体" w:hAnsi="宋体" w:eastAsia="宋体" w:cs="宋体"/>
                <w:b/>
                <w:bCs/>
                <w:color w:val="000000" w:themeColor="text1"/>
                <w:sz w:val="21"/>
                <w:u w:val="none"/>
              </w:rPr>
            </w:pPr>
            <w:r>
              <w:rPr>
                <w:rFonts w:ascii="宋体" w:hAnsi="宋体" w:eastAsia="宋体" w:cs="宋体"/>
                <w:b/>
                <w:bCs/>
                <w:color w:val="000000" w:themeColor="text1"/>
                <w:sz w:val="21"/>
                <w:u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1096"/>
              <w:jc w:val="center"/>
              <w:rPr>
                <w:rFonts w:ascii="宋体" w:hAnsi="宋体" w:eastAsia="宋体" w:cs="宋体"/>
                <w:b/>
                <w:bCs/>
                <w:color w:val="000000" w:themeColor="text1"/>
                <w:sz w:val="21"/>
                <w:u w:val="none"/>
              </w:rPr>
            </w:pPr>
            <w:r>
              <w:rPr>
                <w:rFonts w:ascii="宋体" w:hAnsi="宋体" w:eastAsia="宋体" w:cs="宋体"/>
                <w:b/>
                <w:bCs/>
                <w:color w:val="000000" w:themeColor="text1"/>
                <w:sz w:val="21"/>
                <w:u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1096"/>
              <w:jc w:val="center"/>
              <w:rPr>
                <w:rFonts w:ascii="宋体" w:hAnsi="宋体" w:eastAsia="宋体" w:cs="宋体"/>
                <w:b/>
                <w:bCs/>
                <w:color w:val="000000" w:themeColor="text1"/>
                <w:sz w:val="21"/>
                <w:u w:val="none"/>
              </w:rPr>
            </w:pPr>
            <w:r>
              <w:rPr>
                <w:rFonts w:ascii="宋体" w:hAnsi="宋体" w:eastAsia="宋体" w:cs="宋体"/>
                <w:b/>
                <w:bCs/>
                <w:color w:val="000000" w:themeColor="text1"/>
                <w:sz w:val="21"/>
                <w:u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1096"/>
              <w:jc w:val="center"/>
              <w:rPr>
                <w:rFonts w:ascii="宋体" w:hAnsi="宋体" w:eastAsia="宋体" w:cs="宋体"/>
                <w:b/>
                <w:bCs/>
                <w:color w:val="000000" w:themeColor="text1"/>
                <w:sz w:val="21"/>
                <w:u w:val="none"/>
              </w:rPr>
            </w:pPr>
            <w:r>
              <w:rPr>
                <w:rFonts w:ascii="宋体" w:hAnsi="宋体" w:eastAsia="宋体" w:cs="宋体"/>
                <w:b/>
                <w:bCs/>
                <w:color w:val="000000" w:themeColor="text1"/>
                <w:sz w:val="21"/>
                <w:u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1096"/>
              <w:jc w:val="center"/>
              <w:rPr>
                <w:rFonts w:ascii="宋体" w:hAnsi="宋体" w:eastAsia="宋体" w:cs="宋体"/>
                <w:b/>
                <w:bCs/>
                <w:color w:val="000000" w:themeColor="text1"/>
                <w:sz w:val="21"/>
                <w:u w:val="none"/>
              </w:rPr>
            </w:pPr>
            <w:r>
              <w:rPr>
                <w:rFonts w:ascii="宋体" w:hAnsi="宋体" w:eastAsia="宋体" w:cs="宋体"/>
                <w:b/>
                <w:bCs/>
                <w:color w:val="000000" w:themeColor="text1"/>
                <w:sz w:val="21"/>
                <w:u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1096"/>
              <w:jc w:val="center"/>
              <w:rPr>
                <w:rFonts w:ascii="宋体" w:hAnsi="宋体" w:eastAsia="宋体" w:cs="宋体"/>
                <w:b/>
                <w:bCs/>
                <w:color w:val="000000" w:themeColor="text1"/>
                <w:sz w:val="21"/>
                <w:u w:val="none"/>
              </w:rPr>
            </w:pPr>
            <w:r>
              <w:rPr>
                <w:rFonts w:hint="eastAsia" w:ascii="宋体" w:hAnsi="宋体" w:eastAsia="宋体" w:cs="宋体"/>
                <w:b/>
                <w:bCs/>
                <w:color w:val="000000" w:themeColor="text1"/>
                <w:sz w:val="21"/>
                <w:u w:val="none"/>
              </w:rPr>
              <w:t xml:space="preserve">44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1096"/>
              <w:jc w:val="center"/>
              <w:rPr>
                <w:rFonts w:ascii="宋体" w:hAnsi="宋体" w:eastAsia="宋体" w:cs="宋体"/>
                <w:b/>
                <w:bCs/>
                <w:color w:val="000000" w:themeColor="text1"/>
                <w:sz w:val="21"/>
                <w:u w:val="none"/>
              </w:rPr>
            </w:pPr>
            <w:r>
              <w:rPr>
                <w:rFonts w:hint="eastAsia" w:ascii="宋体" w:hAnsi="宋体" w:eastAsia="宋体" w:cs="宋体"/>
                <w:b/>
                <w:bCs/>
                <w:color w:val="000000" w:themeColor="text1"/>
                <w:sz w:val="21"/>
                <w:u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1096"/>
              <w:jc w:val="center"/>
              <w:rPr>
                <w:rFonts w:ascii="宋体" w:hAnsi="宋体" w:eastAsia="宋体" w:cs="宋体"/>
                <w:b/>
                <w:bCs/>
                <w:color w:val="000000" w:themeColor="text1"/>
                <w:sz w:val="21"/>
                <w:u w:val="none"/>
              </w:rPr>
            </w:pPr>
            <w:r>
              <w:rPr>
                <w:rFonts w:hint="eastAsia" w:ascii="宋体" w:hAnsi="宋体" w:eastAsia="宋体" w:cs="宋体"/>
                <w:b/>
                <w:bCs/>
                <w:color w:val="000000" w:themeColor="text1"/>
                <w:sz w:val="21"/>
                <w:u w:val="none"/>
              </w:rPr>
              <w:t xml:space="preserve">50</w:t>
            </w:r>
            <w:r/>
          </w:p>
        </w:tc>
      </w:tr>
    </w:tbl>
    <w:p>
      <w:pPr>
        <w:pStyle w:val="1154"/>
        <w:rPr>
          <w:color w:val="000000" w:themeColor="text1"/>
          <w:u w:val="none"/>
        </w:rPr>
      </w:pPr>
      <w:r>
        <w:rPr>
          <w:color w:val="000000" w:themeColor="text1"/>
          <w:u w:val="none"/>
        </w:rPr>
      </w:r>
      <w:r/>
    </w:p>
    <w:tbl>
      <w:tblPr>
        <w:tblStyle w:val="1155"/>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793"/>
          <w:tblHeader/>
        </w:trPr>
        <w:tc>
          <w:tcPr>
            <w:tcW w:w="519" w:type="dxa"/>
            <w:textDirection w:val="lrTb"/>
            <w:noWrap w:val="false"/>
          </w:tcPr>
          <w:p>
            <w:pPr>
              <w:jc w:val="center"/>
              <w:spacing w:before="264" w:line="360" w:lineRule="auto"/>
              <w:rPr>
                <w:rFonts w:cs="宋体"/>
                <w:b/>
                <w:bCs/>
                <w:color w:val="000000" w:themeColor="text1"/>
                <w:spacing w:val="-2"/>
                <w:sz w:val="22"/>
                <w:u w:val="none"/>
              </w:rPr>
            </w:pPr>
            <w:r>
              <w:rPr>
                <w:rFonts w:cs="宋体"/>
                <w:b/>
                <w:bCs/>
                <w:color w:val="000000" w:themeColor="text1"/>
                <w:spacing w:val="-2"/>
                <w:sz w:val="22"/>
                <w:u w:val="none"/>
              </w:rPr>
              <w:t xml:space="preserve">序号</w:t>
            </w:r>
            <w:r/>
          </w:p>
        </w:tc>
        <w:tc>
          <w:tcPr>
            <w:tcW w:w="1179" w:type="dxa"/>
            <w:textDirection w:val="lrTb"/>
            <w:noWrap w:val="false"/>
          </w:tcPr>
          <w:p>
            <w:pPr>
              <w:jc w:val="center"/>
              <w:spacing w:before="264" w:line="360" w:lineRule="auto"/>
              <w:rPr>
                <w:rFonts w:cs="宋体"/>
                <w:b/>
                <w:bCs/>
                <w:color w:val="000000" w:themeColor="text1"/>
                <w:spacing w:val="-2"/>
                <w:sz w:val="22"/>
                <w:u w:val="none"/>
              </w:rPr>
            </w:pPr>
            <w:r>
              <w:rPr>
                <w:rFonts w:cs="宋体"/>
                <w:b/>
                <w:bCs/>
                <w:color w:val="000000" w:themeColor="text1"/>
                <w:spacing w:val="-2"/>
                <w:sz w:val="22"/>
                <w:u w:val="none"/>
              </w:rPr>
              <w:t xml:space="preserve">评审因素</w:t>
            </w:r>
            <w:r/>
          </w:p>
        </w:tc>
        <w:tc>
          <w:tcPr>
            <w:tcW w:w="6330" w:type="dxa"/>
            <w:textDirection w:val="lrTb"/>
            <w:noWrap w:val="false"/>
          </w:tcPr>
          <w:p>
            <w:pPr>
              <w:jc w:val="center"/>
              <w:spacing w:before="264" w:line="360" w:lineRule="auto"/>
              <w:rPr>
                <w:rFonts w:cs="宋体"/>
                <w:b/>
                <w:bCs/>
                <w:color w:val="000000" w:themeColor="text1"/>
                <w:spacing w:val="-2"/>
                <w:sz w:val="22"/>
                <w:u w:val="none"/>
              </w:rPr>
            </w:pPr>
            <w:r>
              <w:rPr>
                <w:rFonts w:cs="宋体"/>
                <w:b/>
                <w:bCs/>
                <w:color w:val="000000" w:themeColor="text1"/>
                <w:spacing w:val="-2"/>
                <w:sz w:val="22"/>
                <w:u w:val="none"/>
              </w:rPr>
              <w:t xml:space="preserve">评审细则</w:t>
            </w:r>
            <w:r/>
          </w:p>
        </w:tc>
        <w:tc>
          <w:tcPr>
            <w:tcW w:w="647" w:type="dxa"/>
            <w:textDirection w:val="lrTb"/>
            <w:noWrap w:val="false"/>
          </w:tcPr>
          <w:p>
            <w:pPr>
              <w:jc w:val="center"/>
              <w:spacing w:before="264" w:line="360" w:lineRule="auto"/>
              <w:rPr>
                <w:rFonts w:cs="宋体"/>
                <w:b/>
                <w:bCs/>
                <w:color w:val="000000" w:themeColor="text1"/>
                <w:spacing w:val="-2"/>
                <w:sz w:val="22"/>
                <w:u w:val="none"/>
              </w:rPr>
            </w:pPr>
            <w:r>
              <w:rPr>
                <w:rFonts w:cs="宋体"/>
                <w:b/>
                <w:bCs/>
                <w:color w:val="000000" w:themeColor="text1"/>
                <w:spacing w:val="-2"/>
                <w:sz w:val="22"/>
                <w:u w:val="none"/>
              </w:rPr>
              <w:t xml:space="preserve">分值</w:t>
            </w:r>
            <w:r/>
          </w:p>
        </w:tc>
        <w:tc>
          <w:tcPr>
            <w:tcW w:w="900" w:type="dxa"/>
            <w:textDirection w:val="lrTb"/>
            <w:noWrap w:val="false"/>
          </w:tcPr>
          <w:p>
            <w:pPr>
              <w:jc w:val="center"/>
              <w:spacing w:before="264" w:line="360" w:lineRule="auto"/>
              <w:rPr>
                <w:rFonts w:cs="宋体"/>
                <w:b/>
                <w:bCs/>
                <w:color w:val="000000" w:themeColor="text1"/>
                <w:spacing w:val="-2"/>
                <w:sz w:val="22"/>
                <w:u w:val="none"/>
              </w:rPr>
            </w:pPr>
            <w:r>
              <w:rPr>
                <w:rFonts w:cs="宋体"/>
                <w:b/>
                <w:bCs/>
                <w:color w:val="000000" w:themeColor="text1"/>
                <w:spacing w:val="-2"/>
                <w:sz w:val="22"/>
                <w:u w:val="none"/>
              </w:rPr>
              <w:t xml:space="preserve">类型</w:t>
            </w:r>
            <w:r/>
          </w:p>
        </w:tc>
      </w:tr>
      <w:tr>
        <w:trPr>
          <w:jc w:val="center"/>
          <w:trHeight w:val="460"/>
        </w:trPr>
        <w:tc>
          <w:tcPr>
            <w:gridSpan w:val="5"/>
            <w:tcW w:w="9575" w:type="dxa"/>
            <w:textDirection w:val="lrTb"/>
            <w:noWrap w:val="false"/>
          </w:tcPr>
          <w:p>
            <w:pPr>
              <w:ind w:left="114"/>
              <w:spacing w:before="122" w:line="360" w:lineRule="auto"/>
              <w:rPr>
                <w:rFonts w:cs="宋体"/>
                <w:color w:val="000000" w:themeColor="text1"/>
                <w:sz w:val="22"/>
                <w:u w:val="none"/>
              </w:rPr>
            </w:pPr>
            <w:r>
              <w:rPr>
                <w:rFonts w:hint="eastAsia" w:cs="宋体"/>
                <w:b/>
                <w:bCs/>
                <w:color w:val="000000" w:themeColor="text1"/>
                <w:spacing w:val="-3"/>
                <w:sz w:val="22"/>
                <w:u w:val="none"/>
              </w:rPr>
              <w:t xml:space="preserve">1.</w:t>
            </w:r>
            <w:r>
              <w:rPr>
                <w:rFonts w:cs="宋体"/>
                <w:b/>
                <w:bCs/>
                <w:color w:val="000000" w:themeColor="text1"/>
                <w:spacing w:val="-3"/>
                <w:sz w:val="22"/>
                <w:u w:val="none"/>
              </w:rPr>
              <w:t xml:space="preserve">价</w:t>
            </w:r>
            <w:r>
              <w:rPr>
                <w:rFonts w:cs="宋体"/>
                <w:b/>
                <w:bCs/>
                <w:color w:val="000000" w:themeColor="text1"/>
                <w:spacing w:val="-2"/>
                <w:sz w:val="22"/>
                <w:u w:val="none"/>
              </w:rPr>
              <w:t xml:space="preserve">格</w:t>
            </w:r>
            <w:r/>
          </w:p>
        </w:tc>
      </w:tr>
      <w:tr>
        <w:trPr>
          <w:jc w:val="center"/>
          <w:trHeight w:val="1030"/>
        </w:trPr>
        <w:tc>
          <w:tcPr>
            <w:tcW w:w="519" w:type="dxa"/>
            <w:vAlign w:val="center"/>
            <w:textDirection w:val="lrTb"/>
            <w:noWrap w:val="false"/>
          </w:tcPr>
          <w:p>
            <w:pPr>
              <w:jc w:val="center"/>
              <w:spacing w:before="68" w:line="360" w:lineRule="auto"/>
              <w:rPr>
                <w:rFonts w:cs="宋体"/>
                <w:color w:val="000000" w:themeColor="text1"/>
                <w:sz w:val="22"/>
                <w:u w:val="none"/>
              </w:rPr>
            </w:pPr>
            <w:r>
              <w:rPr>
                <w:rFonts w:cs="宋体"/>
                <w:color w:val="000000" w:themeColor="text1"/>
                <w:spacing w:val="-6"/>
                <w:sz w:val="22"/>
                <w:u w:val="none"/>
              </w:rPr>
              <w:t xml:space="preserve">1</w:t>
            </w:r>
            <w:r>
              <w:rPr>
                <w:rFonts w:cs="宋体"/>
                <w:color w:val="000000" w:themeColor="text1"/>
                <w:spacing w:val="-5"/>
                <w:sz w:val="22"/>
                <w:u w:val="none"/>
              </w:rPr>
              <w:t xml:space="preserve">.1</w:t>
            </w:r>
            <w:r/>
          </w:p>
        </w:tc>
        <w:tc>
          <w:tcPr>
            <w:tcW w:w="1179" w:type="dxa"/>
            <w:vAlign w:val="center"/>
            <w:textDirection w:val="lrTb"/>
            <w:noWrap w:val="false"/>
          </w:tcPr>
          <w:p>
            <w:pPr>
              <w:jc w:val="left"/>
              <w:spacing w:before="68" w:line="360" w:lineRule="auto"/>
              <w:rPr>
                <w:rFonts w:cs="宋体"/>
                <w:color w:val="000000" w:themeColor="text1"/>
                <w:sz w:val="22"/>
                <w:u w:val="none"/>
              </w:rPr>
            </w:pPr>
            <w:r>
              <w:rPr>
                <w:rFonts w:cs="宋体"/>
                <w:color w:val="000000" w:themeColor="text1"/>
                <w:spacing w:val="-2"/>
                <w:sz w:val="22"/>
                <w:u w:val="none"/>
              </w:rPr>
              <w:t xml:space="preserve">价格分</w:t>
            </w:r>
            <w:r/>
          </w:p>
        </w:tc>
        <w:tc>
          <w:tcPr>
            <w:tcW w:w="6330" w:type="dxa"/>
            <w:vAlign w:val="center"/>
            <w:textDirection w:val="lrTb"/>
            <w:noWrap w:val="false"/>
          </w:tcPr>
          <w:p>
            <w:pPr>
              <w:jc w:val="left"/>
              <w:spacing w:line="360" w:lineRule="auto"/>
              <w:rPr>
                <w:rFonts w:cs="宋体"/>
                <w:color w:val="000000" w:themeColor="text1"/>
                <w:sz w:val="22"/>
                <w:u w:val="none"/>
              </w:rPr>
            </w:pPr>
            <w:r>
              <w:rPr>
                <w:rFonts w:cs="宋体"/>
                <w:color w:val="000000" w:themeColor="text1"/>
                <w:spacing w:val="1"/>
                <w:sz w:val="22"/>
                <w:u w:val="none"/>
              </w:rPr>
              <w:t xml:space="preserve">采用低价优先</w:t>
            </w:r>
            <w:r>
              <w:rPr>
                <w:rFonts w:cs="宋体"/>
                <w:color w:val="000000" w:themeColor="text1"/>
                <w:sz w:val="22"/>
                <w:u w:val="none"/>
              </w:rPr>
              <w:t xml:space="preserve">法计算，即满足招标文件要求且投标价格最低的投标</w:t>
            </w:r>
            <w:r>
              <w:rPr>
                <w:rFonts w:cs="宋体"/>
                <w:color w:val="000000" w:themeColor="text1"/>
                <w:spacing w:val="1"/>
                <w:sz w:val="22"/>
                <w:u w:val="none"/>
              </w:rPr>
              <w:t xml:space="preserve">报价为评标基准</w:t>
            </w:r>
            <w:r>
              <w:rPr>
                <w:rFonts w:cs="宋体"/>
                <w:color w:val="000000" w:themeColor="text1"/>
                <w:sz w:val="22"/>
                <w:u w:val="none"/>
              </w:rPr>
              <w:t xml:space="preserve">价，其价格分为满分。其他投标人的价格分统一按</w:t>
            </w:r>
            <w:r>
              <w:rPr>
                <w:rFonts w:cs="宋体"/>
                <w:color w:val="000000" w:themeColor="text1"/>
                <w:spacing w:val="-1"/>
                <w:sz w:val="22"/>
                <w:u w:val="none"/>
              </w:rPr>
              <w:t xml:space="preserve">照下列公</w:t>
            </w:r>
            <w:r>
              <w:rPr>
                <w:rFonts w:cs="宋体"/>
                <w:color w:val="000000" w:themeColor="text1"/>
                <w:sz w:val="22"/>
                <w:u w:val="none"/>
              </w:rPr>
              <w:t xml:space="preserve">式计算：投标报价得分=(评标基准价/投标报价)×</w:t>
            </w:r>
            <w:r>
              <w:rPr>
                <w:rFonts w:hint="eastAsia" w:cs="宋体"/>
                <w:color w:val="000000" w:themeColor="text1"/>
                <w:sz w:val="22"/>
                <w:u w:val="none"/>
              </w:rPr>
              <w:t xml:space="preserve">50（小数点保留两位）</w:t>
            </w:r>
            <w:r/>
          </w:p>
        </w:tc>
        <w:tc>
          <w:tcPr>
            <w:tcW w:w="647" w:type="dxa"/>
            <w:vAlign w:val="center"/>
            <w:textDirection w:val="lrTb"/>
            <w:noWrap w:val="false"/>
          </w:tcPr>
          <w:p>
            <w:pPr>
              <w:jc w:val="center"/>
              <w:spacing w:before="69" w:line="360" w:lineRule="auto"/>
              <w:rPr>
                <w:rFonts w:cs="宋体"/>
                <w:color w:val="000000" w:themeColor="text1"/>
                <w:sz w:val="22"/>
                <w:u w:val="none"/>
              </w:rPr>
            </w:pPr>
            <w:r>
              <w:rPr>
                <w:rFonts w:hint="eastAsia" w:cs="宋体"/>
                <w:color w:val="000000" w:themeColor="text1"/>
                <w:sz w:val="22"/>
                <w:u w:val="none"/>
              </w:rPr>
              <w:t xml:space="preserve">50</w:t>
            </w:r>
            <w:r/>
          </w:p>
        </w:tc>
        <w:tc>
          <w:tcPr>
            <w:tcW w:w="900" w:type="dxa"/>
            <w:vAlign w:val="center"/>
            <w:textDirection w:val="lrTb"/>
            <w:noWrap w:val="false"/>
          </w:tcPr>
          <w:p>
            <w:pPr>
              <w:jc w:val="center"/>
              <w:spacing w:before="258" w:line="360" w:lineRule="auto"/>
              <w:rPr>
                <w:rFonts w:cs="宋体"/>
                <w:color w:val="000000" w:themeColor="text1"/>
                <w:sz w:val="22"/>
                <w:u w:val="none"/>
              </w:rPr>
            </w:pPr>
            <w:r>
              <w:rPr>
                <w:rFonts w:cs="宋体"/>
                <w:color w:val="000000" w:themeColor="text1"/>
                <w:spacing w:val="-4"/>
                <w:sz w:val="22"/>
                <w:u w:val="none"/>
              </w:rPr>
              <w:t xml:space="preserve">价格分</w:t>
            </w:r>
            <w:r/>
          </w:p>
        </w:tc>
      </w:tr>
      <w:tr>
        <w:trPr>
          <w:jc w:val="center"/>
          <w:trHeight w:val="460"/>
        </w:trPr>
        <w:tc>
          <w:tcPr>
            <w:gridSpan w:val="5"/>
            <w:tcW w:w="9575" w:type="dxa"/>
            <w:textDirection w:val="lrTb"/>
            <w:noWrap w:val="false"/>
          </w:tcPr>
          <w:p>
            <w:pPr>
              <w:ind w:left="114"/>
              <w:spacing w:before="123" w:line="360" w:lineRule="auto"/>
              <w:rPr>
                <w:rFonts w:cs="宋体"/>
                <w:color w:val="000000" w:themeColor="text1"/>
                <w:sz w:val="22"/>
                <w:u w:val="none"/>
              </w:rPr>
            </w:pPr>
            <w:r>
              <w:rPr>
                <w:rFonts w:hint="eastAsia" w:cs="宋体"/>
                <w:b/>
                <w:bCs/>
                <w:color w:val="000000" w:themeColor="text1"/>
                <w:spacing w:val="-3"/>
                <w:sz w:val="22"/>
                <w:u w:val="none"/>
              </w:rPr>
              <w:t xml:space="preserve">2.技术</w:t>
            </w:r>
            <w:r/>
          </w:p>
        </w:tc>
      </w:tr>
      <w:tr>
        <w:trPr>
          <w:jc w:val="center"/>
          <w:trHeight w:val="891"/>
        </w:trPr>
        <w:tc>
          <w:tcPr>
            <w:tcW w:w="519" w:type="dxa"/>
            <w:vAlign w:val="center"/>
            <w:textDirection w:val="lrTb"/>
            <w:noWrap w:val="false"/>
          </w:tcPr>
          <w:p>
            <w:pPr>
              <w:jc w:val="center"/>
              <w:spacing w:before="68" w:line="360" w:lineRule="auto"/>
              <w:rPr>
                <w:rFonts w:cs="宋体"/>
                <w:color w:val="000000" w:themeColor="text1"/>
                <w:spacing w:val="-2"/>
                <w:sz w:val="22"/>
                <w:u w:val="none"/>
              </w:rPr>
            </w:pPr>
            <w:r>
              <w:rPr>
                <w:rFonts w:cs="宋体"/>
                <w:color w:val="000000" w:themeColor="text1"/>
                <w:spacing w:val="-2"/>
                <w:sz w:val="22"/>
                <w:u w:val="none"/>
              </w:rPr>
              <w:t xml:space="preserve">2.1</w:t>
            </w:r>
            <w:r/>
          </w:p>
        </w:tc>
        <w:tc>
          <w:tcPr>
            <w:tcW w:w="1179" w:type="dxa"/>
            <w:vAlign w:val="center"/>
            <w:textDirection w:val="lrTb"/>
            <w:noWrap w:val="false"/>
          </w:tcPr>
          <w:p>
            <w:pPr>
              <w:jc w:val="left"/>
              <w:spacing w:before="68" w:line="360" w:lineRule="auto"/>
              <w:rPr>
                <w:rFonts w:cs="宋体"/>
                <w:color w:val="000000" w:themeColor="text1"/>
                <w:spacing w:val="-2"/>
                <w:sz w:val="22"/>
                <w:u w:val="none"/>
              </w:rPr>
            </w:pPr>
            <w:r>
              <w:rPr>
                <w:rFonts w:hint="eastAsia" w:cs="宋体"/>
                <w:color w:val="000000" w:themeColor="text1"/>
                <w:spacing w:val="-2"/>
                <w:sz w:val="22"/>
                <w:u w:val="none"/>
              </w:rPr>
              <w:t xml:space="preserve">产品</w:t>
            </w:r>
            <w:r>
              <w:rPr>
                <w:rFonts w:cs="宋体"/>
                <w:color w:val="000000" w:themeColor="text1"/>
                <w:spacing w:val="-2"/>
                <w:sz w:val="22"/>
                <w:u w:val="none"/>
              </w:rPr>
              <w:t xml:space="preserve">技术参数</w:t>
            </w:r>
            <w:r/>
          </w:p>
        </w:tc>
        <w:tc>
          <w:tcPr>
            <w:shd w:val="clear" w:color="auto" w:fill="auto"/>
            <w:tcW w:w="6330" w:type="dxa"/>
            <w:vAlign w:val="center"/>
            <w:textDirection w:val="lrTb"/>
            <w:noWrap w:val="false"/>
          </w:tcPr>
          <w:p>
            <w:pPr>
              <w:spacing w:line="360" w:lineRule="auto"/>
              <w:rPr>
                <w:rFonts w:ascii="Times New Roman" w:hAnsi="Times New Roman" w:eastAsia="宋体" w:cs="宋体"/>
                <w:color w:val="000000" w:themeColor="text1"/>
                <w:spacing w:val="1"/>
                <w:sz w:val="22"/>
                <w:szCs w:val="22"/>
                <w:u w:val="none"/>
                <w:lang w:val="en-US" w:eastAsia="zh-CN" w:bidi="ar-SA"/>
              </w:rPr>
            </w:pPr>
            <w:r>
              <w:rPr>
                <w:rFonts w:hint="eastAsia" w:cs="宋体"/>
                <w:color w:val="000000" w:themeColor="text1"/>
                <w:sz w:val="22"/>
                <w:u w:val="none"/>
              </w:rPr>
              <w:t xml:space="preserve">产品</w:t>
            </w:r>
            <w:r>
              <w:rPr>
                <w:rFonts w:cs="宋体"/>
                <w:color w:val="000000" w:themeColor="text1"/>
                <w:sz w:val="22"/>
                <w:u w:val="none"/>
              </w:rPr>
              <w:t xml:space="preserve">技术参数全部满足招标要求的得满分</w:t>
            </w:r>
            <w:r>
              <w:rPr>
                <w:rFonts w:hint="eastAsia" w:cs="宋体"/>
                <w:color w:val="000000" w:themeColor="text1"/>
                <w:sz w:val="22"/>
                <w:u w:val="none"/>
              </w:rPr>
              <w:t xml:space="preserve">26</w:t>
            </w:r>
            <w:r>
              <w:rPr>
                <w:rFonts w:cs="宋体"/>
                <w:color w:val="000000" w:themeColor="text1"/>
                <w:sz w:val="22"/>
                <w:u w:val="none"/>
              </w:rPr>
              <w:t xml:space="preserve">分；打</w:t>
            </w:r>
            <w:r>
              <w:rPr>
                <w:rFonts w:ascii="Segoe UI Symbol" w:hAnsi="Segoe UI Symbol" w:cs="Segoe UI Symbol"/>
                <w:color w:val="000000" w:themeColor="text1"/>
                <w:sz w:val="22"/>
                <w:u w:val="none"/>
              </w:rPr>
              <w:t xml:space="preserve">★</w:t>
            </w:r>
            <w:r>
              <w:rPr>
                <w:rFonts w:cs="宋体"/>
                <w:color w:val="000000" w:themeColor="text1"/>
                <w:sz w:val="22"/>
                <w:u w:val="none"/>
              </w:rPr>
              <w:t xml:space="preserve">指标为必须满足项，如有负偏离将作为无效投标；打▲指标为重要指标，有</w:t>
            </w:r>
            <w:r>
              <w:rPr>
                <w:rFonts w:hint="eastAsia" w:cs="宋体"/>
                <w:color w:val="000000" w:themeColor="text1"/>
                <w:sz w:val="22"/>
                <w:u w:val="none"/>
              </w:rPr>
              <w:t xml:space="preserve">1</w:t>
            </w:r>
            <w:r>
              <w:rPr>
                <w:rFonts w:cs="宋体"/>
                <w:color w:val="000000" w:themeColor="text1"/>
                <w:sz w:val="22"/>
                <w:u w:val="none"/>
              </w:rPr>
              <w:t xml:space="preserve">项负偏离扣2分；其余指标，有</w:t>
            </w:r>
            <w:r>
              <w:rPr>
                <w:rFonts w:hint="eastAsia" w:cs="宋体"/>
                <w:color w:val="000000" w:themeColor="text1"/>
                <w:sz w:val="22"/>
                <w:u w:val="none"/>
              </w:rPr>
              <w:t xml:space="preserve">1</w:t>
            </w:r>
            <w:r>
              <w:rPr>
                <w:rFonts w:cs="宋体"/>
                <w:color w:val="000000" w:themeColor="text1"/>
                <w:sz w:val="22"/>
                <w:u w:val="none"/>
              </w:rPr>
              <w:t xml:space="preserve">项负偏离扣1分，扣完为止。</w:t>
            </w:r>
            <w:r/>
          </w:p>
        </w:tc>
        <w:tc>
          <w:tcPr>
            <w:shd w:val="clear" w:color="auto" w:fill="auto"/>
            <w:tcW w:w="647" w:type="dxa"/>
            <w:vAlign w:val="center"/>
            <w:textDirection w:val="lrTb"/>
            <w:noWrap w:val="false"/>
          </w:tcPr>
          <w:p>
            <w:pPr>
              <w:jc w:val="center"/>
              <w:spacing w:before="68" w:line="360" w:lineRule="auto"/>
              <w:rPr>
                <w:rFonts w:hint="default" w:ascii="Times New Roman" w:hAnsi="Times New Roman" w:eastAsia="宋体" w:cs="宋体"/>
                <w:color w:val="000000" w:themeColor="text1"/>
                <w:sz w:val="22"/>
                <w:szCs w:val="22"/>
                <w:u w:val="none"/>
                <w:lang w:val="en-US" w:eastAsia="zh-CN" w:bidi="ar-SA"/>
              </w:rPr>
            </w:pPr>
            <w:r>
              <w:rPr>
                <w:rFonts w:hint="eastAsia" w:cs="宋体"/>
                <w:color w:val="000000" w:themeColor="text1"/>
                <w:sz w:val="22"/>
                <w:u w:val="none"/>
              </w:rPr>
              <w:t xml:space="preserve">26</w:t>
            </w:r>
            <w:r/>
          </w:p>
        </w:tc>
        <w:tc>
          <w:tcPr>
            <w:tcW w:w="900" w:type="dxa"/>
            <w:vAlign w:val="center"/>
            <w:textDirection w:val="lrTb"/>
            <w:noWrap w:val="false"/>
          </w:tcPr>
          <w:p>
            <w:pPr>
              <w:jc w:val="center"/>
              <w:spacing w:before="68" w:line="360" w:lineRule="auto"/>
              <w:rPr>
                <w:rFonts w:cs="宋体"/>
                <w:color w:val="000000" w:themeColor="text1"/>
                <w:sz w:val="22"/>
                <w:u w:val="none"/>
              </w:rPr>
            </w:pPr>
            <w:r>
              <w:rPr>
                <w:rFonts w:cs="宋体"/>
                <w:color w:val="000000" w:themeColor="text1"/>
                <w:sz w:val="22"/>
                <w:u w:val="none"/>
              </w:rPr>
            </w:r>
            <w:r/>
          </w:p>
        </w:tc>
      </w:tr>
      <w:tr>
        <w:trPr>
          <w:jc w:val="center"/>
          <w:trHeight w:val="891"/>
        </w:trPr>
        <w:tc>
          <w:tcPr>
            <w:tcW w:w="519" w:type="dxa"/>
            <w:vAlign w:val="center"/>
            <w:textDirection w:val="lrTb"/>
            <w:noWrap w:val="false"/>
          </w:tcPr>
          <w:p>
            <w:pPr>
              <w:jc w:val="center"/>
              <w:spacing w:before="68" w:line="360" w:lineRule="auto"/>
              <w:rPr>
                <w:rFonts w:cs="宋体"/>
                <w:color w:val="000000" w:themeColor="text1"/>
                <w:spacing w:val="-2"/>
                <w:sz w:val="22"/>
                <w:u w:val="none"/>
              </w:rPr>
            </w:pPr>
            <w:r>
              <w:rPr>
                <w:rFonts w:hint="eastAsia" w:cs="宋体"/>
                <w:color w:val="000000" w:themeColor="text1"/>
                <w:spacing w:val="-2"/>
                <w:sz w:val="22"/>
                <w:u w:val="none"/>
              </w:rPr>
              <w:t xml:space="preserve">2</w:t>
            </w:r>
            <w:r>
              <w:rPr>
                <w:rFonts w:cs="宋体"/>
                <w:color w:val="000000" w:themeColor="text1"/>
                <w:spacing w:val="-2"/>
                <w:sz w:val="22"/>
                <w:u w:val="none"/>
              </w:rPr>
              <w:t xml:space="preserve">.2</w:t>
            </w:r>
            <w:r/>
          </w:p>
        </w:tc>
        <w:tc>
          <w:tcPr>
            <w:tcW w:w="1179" w:type="dxa"/>
            <w:vAlign w:val="center"/>
            <w:textDirection w:val="lrTb"/>
            <w:noWrap w:val="false"/>
          </w:tcPr>
          <w:p>
            <w:pPr>
              <w:jc w:val="left"/>
              <w:spacing w:line="360" w:lineRule="auto"/>
              <w:rPr>
                <w:rFonts w:cs="宋体"/>
                <w:color w:val="000000" w:themeColor="text1"/>
                <w:sz w:val="22"/>
                <w:u w:val="none"/>
              </w:rPr>
            </w:pPr>
            <w:r>
              <w:rPr>
                <w:rFonts w:hint="eastAsia" w:cs="宋体"/>
                <w:color w:val="000000" w:themeColor="text1"/>
                <w:sz w:val="22"/>
                <w:u w:val="none"/>
              </w:rPr>
              <w:t xml:space="preserve">深化设计方案</w:t>
            </w:r>
            <w:r/>
          </w:p>
        </w:tc>
        <w:tc>
          <w:tcPr>
            <w:tcW w:w="6330" w:type="dxa"/>
            <w:vAlign w:val="center"/>
            <w:textDirection w:val="lrTb"/>
            <w:noWrap w:val="false"/>
          </w:tcPr>
          <w:p>
            <w:pPr>
              <w:jc w:val="left"/>
              <w:spacing w:line="360" w:lineRule="auto"/>
              <w:rPr>
                <w:rFonts w:cs="宋体"/>
                <w:color w:val="000000" w:themeColor="text1"/>
                <w:sz w:val="22"/>
                <w:u w:val="none"/>
              </w:rPr>
            </w:pPr>
            <w:r>
              <w:rPr>
                <w:rFonts w:hint="eastAsia" w:cs="宋体"/>
                <w:color w:val="000000" w:themeColor="text1"/>
                <w:sz w:val="22"/>
                <w:u w:val="none"/>
              </w:rPr>
              <w:t xml:space="preserve">评委根据投标人提供的深化设计方案（对本项目9个功能空间：医务保健室、医务处置室、医务治疗室、乒乓球室、多功能健身房、羽毛球场、室内篮球场、器材室、室内看台。进行深化设计，提供9个空间的平面布置图及对应的场景效果图设计方案，投标人结合所投产品及自身设计理念呈现深化设计方案）评分：</w:t>
            </w:r>
            <w:r/>
          </w:p>
          <w:p>
            <w:pPr>
              <w:pStyle w:val="1154"/>
              <w:ind w:left="0"/>
              <w:rPr>
                <w:rFonts w:cs="宋体"/>
                <w:color w:val="000000" w:themeColor="text1"/>
                <w:sz w:val="22"/>
                <w:u w:val="none"/>
              </w:rPr>
            </w:pPr>
            <w:r>
              <w:rPr>
                <w:rFonts w:hint="eastAsia" w:cs="宋体"/>
                <w:color w:val="000000" w:themeColor="text1"/>
                <w:sz w:val="22"/>
                <w:u w:val="none"/>
              </w:rPr>
              <w:t xml:space="preserve">（1） 平面布置图：9个功能空间的平面布置图完整，各空间功能分区清晰（如医务保健室区分接待区、诊疗区等），流线合理（如健身房器械摆放预留安全活动距离≥1.5米等），符合相关设计规范（如医务室需设置独立洗手池等）。</w:t>
            </w:r>
            <w:r/>
          </w:p>
          <w:p>
            <w:pPr>
              <w:pStyle w:val="1154"/>
              <w:ind w:left="0" w:firstLine="660"/>
              <w:rPr>
                <w:rFonts w:cs="宋体"/>
                <w:color w:val="000000" w:themeColor="text1"/>
                <w:sz w:val="22"/>
                <w:u w:val="none"/>
              </w:rPr>
            </w:pPr>
            <w:r>
              <w:rPr>
                <w:rFonts w:hint="eastAsia" w:cs="宋体"/>
                <w:color w:val="000000" w:themeColor="text1"/>
                <w:sz w:val="22"/>
                <w:u w:val="none"/>
              </w:rPr>
              <w:t xml:space="preserve">效果图：9个功能空间完整，每个空间提供不少于2个视角的效果图，且效果图能清晰呈现空间布局、材质选用、色彩搭配等，与平面布置图完全对应，细节完整。</w:t>
            </w:r>
            <w:r/>
          </w:p>
          <w:p>
            <w:pPr>
              <w:pStyle w:val="1154"/>
              <w:ind w:left="0" w:firstLine="660"/>
              <w:rPr>
                <w:rFonts w:cs="宋体"/>
                <w:color w:val="000000" w:themeColor="text1"/>
                <w:sz w:val="22"/>
                <w:u w:val="none"/>
              </w:rPr>
            </w:pPr>
            <w:r>
              <w:rPr>
                <w:rFonts w:hint="eastAsia" w:cs="宋体"/>
                <w:color w:val="000000" w:themeColor="text1"/>
                <w:sz w:val="22"/>
                <w:u w:val="none"/>
              </w:rPr>
              <w:t xml:space="preserve">现场符合性：设计方案完全契合现场实际尺寸、结构无冲突点。</w:t>
            </w:r>
            <w:r/>
          </w:p>
          <w:p>
            <w:pPr>
              <w:ind w:firstLine="440"/>
              <w:rPr>
                <w:rFonts w:cs="宋体"/>
                <w:color w:val="000000" w:themeColor="text1"/>
                <w:sz w:val="22"/>
                <w:u w:val="none"/>
              </w:rPr>
            </w:pPr>
            <w:r>
              <w:rPr>
                <w:rFonts w:hint="eastAsia" w:cs="宋体"/>
                <w:color w:val="000000" w:themeColor="text1"/>
                <w:sz w:val="22"/>
                <w:u w:val="none"/>
              </w:rPr>
              <w:t xml:space="preserve">符合以上标准得9分。</w:t>
            </w:r>
            <w:r/>
          </w:p>
          <w:p>
            <w:pPr>
              <w:pStyle w:val="1154"/>
              <w:ind w:left="0"/>
              <w:rPr>
                <w:color w:val="000000" w:themeColor="text1"/>
                <w:u w:val="none"/>
              </w:rPr>
            </w:pPr>
            <w:r>
              <w:rPr>
                <w:rFonts w:hint="eastAsia"/>
                <w:color w:val="000000" w:themeColor="text1"/>
                <w:u w:val="none"/>
              </w:rPr>
              <w:t xml:space="preserve">（2）平面布置图：9个功能空间的平面布置图完整。各空间功能分区、流线、整体符合相关设计规范（存在1 - 2处非关键性细节偏差。</w:t>
            </w:r>
            <w:r/>
          </w:p>
          <w:p>
            <w:pPr>
              <w:pStyle w:val="1154"/>
              <w:ind w:left="0" w:firstLine="420"/>
              <w:rPr>
                <w:color w:val="000000" w:themeColor="text1"/>
                <w:u w:val="none"/>
              </w:rPr>
            </w:pPr>
            <w:r>
              <w:rPr>
                <w:rFonts w:hint="eastAsia"/>
                <w:color w:val="000000" w:themeColor="text1"/>
                <w:u w:val="none"/>
              </w:rPr>
              <w:t xml:space="preserve">效果图：9个功能空间完整，每个空间提供不少于2个视角的效果图，与平面布置图基本对应，主要细节呈现完整。存在个别次要细节模糊。</w:t>
            </w:r>
            <w:r/>
          </w:p>
          <w:p>
            <w:pPr>
              <w:pStyle w:val="1154"/>
              <w:ind w:left="0" w:firstLine="420"/>
              <w:rPr>
                <w:color w:val="000000" w:themeColor="text1"/>
                <w:u w:val="none"/>
              </w:rPr>
            </w:pPr>
            <w:r>
              <w:rPr>
                <w:rFonts w:hint="eastAsia"/>
                <w:color w:val="000000" w:themeColor="text1"/>
                <w:u w:val="none"/>
              </w:rPr>
              <w:t xml:space="preserve">现场符合性：设计方案契合现场实际情况，存在1 - 2处可通过微调解决的非结构性冲突。</w:t>
            </w:r>
            <w:r/>
          </w:p>
          <w:p>
            <w:pPr>
              <w:ind w:firstLine="420"/>
              <w:rPr>
                <w:color w:val="000000" w:themeColor="text1"/>
                <w:u w:val="none"/>
              </w:rPr>
            </w:pPr>
            <w:r>
              <w:rPr>
                <w:rFonts w:hint="eastAsia"/>
                <w:color w:val="000000" w:themeColor="text1"/>
                <w:u w:val="none"/>
              </w:rPr>
              <w:t xml:space="preserve">符合以上标准得6分。</w:t>
            </w:r>
            <w:r/>
          </w:p>
          <w:p>
            <w:pPr>
              <w:pStyle w:val="1154"/>
              <w:ind w:left="0"/>
              <w:rPr>
                <w:color w:val="000000" w:themeColor="text1"/>
                <w:u w:val="none"/>
              </w:rPr>
            </w:pPr>
            <w:r>
              <w:rPr>
                <w:rFonts w:hint="eastAsia"/>
                <w:color w:val="000000" w:themeColor="text1"/>
                <w:u w:val="none"/>
              </w:rPr>
              <w:t xml:space="preserve">（3）平面布置图：至少涵盖7个功能空间的平面布置图，功能分区和流线，存在3 - 4处不影响核心功能的不规范之处。</w:t>
            </w:r>
            <w:r/>
          </w:p>
          <w:p>
            <w:pPr>
              <w:pStyle w:val="1154"/>
              <w:ind w:left="0" w:firstLine="420"/>
              <w:rPr>
                <w:color w:val="000000" w:themeColor="text1"/>
                <w:u w:val="none"/>
              </w:rPr>
            </w:pPr>
            <w:r>
              <w:rPr>
                <w:rFonts w:hint="eastAsia"/>
                <w:color w:val="000000" w:themeColor="text1"/>
                <w:u w:val="none"/>
              </w:rPr>
              <w:t xml:space="preserve">效果图：提供至少3个空间的效果图，每个空间不少于1个视角，能体现空间布局。</w:t>
            </w:r>
            <w:r/>
          </w:p>
          <w:p>
            <w:pPr>
              <w:pStyle w:val="1154"/>
              <w:ind w:left="0" w:firstLine="420"/>
              <w:rPr>
                <w:color w:val="000000" w:themeColor="text1"/>
                <w:u w:val="none"/>
              </w:rPr>
            </w:pPr>
            <w:r>
              <w:rPr>
                <w:rFonts w:hint="eastAsia"/>
                <w:color w:val="000000" w:themeColor="text1"/>
                <w:u w:val="none"/>
              </w:rPr>
              <w:t xml:space="preserve">现场符合性：设计方案与现场实际情况存在3 - 4处需调整的冲突，但核心功能可实现。</w:t>
            </w:r>
            <w:r/>
          </w:p>
          <w:p>
            <w:pPr>
              <w:rPr>
                <w:color w:val="000000" w:themeColor="text1"/>
                <w:u w:val="none"/>
              </w:rPr>
            </w:pPr>
            <w:r>
              <w:rPr>
                <w:rFonts w:hint="eastAsia"/>
                <w:color w:val="000000" w:themeColor="text1"/>
                <w:u w:val="none"/>
              </w:rPr>
              <w:t xml:space="preserve">   符合以上标准得3分。</w:t>
            </w:r>
            <w:r/>
          </w:p>
          <w:p>
            <w:pPr>
              <w:pStyle w:val="1154"/>
              <w:ind w:left="0"/>
              <w:rPr>
                <w:color w:val="000000" w:themeColor="text1"/>
                <w:u w:val="none"/>
              </w:rPr>
            </w:pPr>
            <w:r>
              <w:rPr>
                <w:rFonts w:hint="eastAsia"/>
                <w:color w:val="000000" w:themeColor="text1"/>
                <w:u w:val="none"/>
              </w:rPr>
              <w:t xml:space="preserve">（4） 平面布置图缺失3个及以上功能空间，或功能分区混乱、流线严重不合理。</w:t>
            </w:r>
            <w:r/>
          </w:p>
          <w:p>
            <w:pPr>
              <w:pStyle w:val="1154"/>
              <w:ind w:left="0" w:firstLine="420"/>
              <w:rPr>
                <w:color w:val="000000" w:themeColor="text1"/>
                <w:u w:val="none"/>
              </w:rPr>
            </w:pPr>
            <w:r>
              <w:rPr>
                <w:rFonts w:hint="eastAsia"/>
                <w:color w:val="000000" w:themeColor="text1"/>
                <w:u w:val="none"/>
              </w:rPr>
              <w:t xml:space="preserve">效果图未提供，或提供的效果图与平面布置图完全不匹配。</w:t>
            </w:r>
            <w:r/>
          </w:p>
          <w:p>
            <w:pPr>
              <w:pStyle w:val="1154"/>
              <w:ind w:left="0" w:firstLine="420"/>
              <w:rPr>
                <w:color w:val="000000" w:themeColor="text1"/>
                <w:u w:val="none"/>
              </w:rPr>
            </w:pPr>
            <w:r>
              <w:rPr>
                <w:rFonts w:hint="eastAsia"/>
                <w:color w:val="000000" w:themeColor="text1"/>
                <w:u w:val="none"/>
              </w:rPr>
              <w:t xml:space="preserve">设计方案与现场实际情况存在结构性冲突，导致核心功能无法实现。</w:t>
            </w:r>
            <w:r/>
          </w:p>
          <w:p>
            <w:pPr>
              <w:jc w:val="left"/>
              <w:spacing w:line="360" w:lineRule="auto"/>
              <w:rPr>
                <w:rFonts w:cs="宋体"/>
                <w:color w:val="000000" w:themeColor="text1"/>
                <w:sz w:val="22"/>
                <w:u w:val="none"/>
              </w:rPr>
            </w:pPr>
            <w:r>
              <w:rPr>
                <w:rFonts w:hint="eastAsia"/>
                <w:color w:val="000000" w:themeColor="text1"/>
                <w:u w:val="none"/>
              </w:rPr>
              <w:t xml:space="preserve">    符合以上标准不得分。</w:t>
            </w:r>
            <w:r/>
          </w:p>
        </w:tc>
        <w:tc>
          <w:tcPr>
            <w:tcW w:w="647" w:type="dxa"/>
            <w:vAlign w:val="center"/>
            <w:textDirection w:val="lrTb"/>
            <w:noWrap w:val="false"/>
          </w:tcPr>
          <w:p>
            <w:pPr>
              <w:jc w:val="center"/>
              <w:spacing w:before="68" w:line="360" w:lineRule="auto"/>
              <w:rPr>
                <w:rFonts w:cs="宋体"/>
                <w:color w:val="000000" w:themeColor="text1"/>
                <w:sz w:val="22"/>
                <w:u w:val="none"/>
              </w:rPr>
            </w:pPr>
            <w:r>
              <w:rPr>
                <w:rFonts w:hint="eastAsia" w:cs="宋体"/>
                <w:color w:val="000000" w:themeColor="text1"/>
                <w:sz w:val="22"/>
                <w:u w:val="none"/>
              </w:rPr>
              <w:t xml:space="preserve">9</w:t>
            </w:r>
            <w:r/>
          </w:p>
        </w:tc>
        <w:tc>
          <w:tcPr>
            <w:tcW w:w="900" w:type="dxa"/>
            <w:vAlign w:val="center"/>
            <w:textDirection w:val="lrTb"/>
            <w:noWrap w:val="false"/>
          </w:tcPr>
          <w:p>
            <w:pPr>
              <w:jc w:val="center"/>
              <w:spacing w:before="68" w:line="360" w:lineRule="auto"/>
              <w:rPr>
                <w:rFonts w:cs="宋体"/>
                <w:color w:val="000000" w:themeColor="text1"/>
                <w:spacing w:val="-6"/>
                <w:sz w:val="22"/>
                <w:u w:val="none"/>
              </w:rPr>
            </w:pPr>
            <w:r>
              <w:rPr>
                <w:rFonts w:cs="宋体"/>
                <w:color w:val="000000" w:themeColor="text1"/>
                <w:spacing w:val="-6"/>
                <w:sz w:val="22"/>
                <w:u w:val="none"/>
              </w:rPr>
            </w:r>
            <w:r/>
          </w:p>
        </w:tc>
      </w:tr>
      <w:tr>
        <w:trPr>
          <w:jc w:val="center"/>
          <w:trHeight w:val="6105"/>
        </w:trPr>
        <w:tc>
          <w:tcPr>
            <w:tcW w:w="519" w:type="dxa"/>
            <w:vAlign w:val="center"/>
            <w:textDirection w:val="lrTb"/>
            <w:noWrap w:val="false"/>
          </w:tcPr>
          <w:p>
            <w:pPr>
              <w:jc w:val="center"/>
              <w:spacing w:before="68" w:line="360" w:lineRule="auto"/>
              <w:rPr>
                <w:rFonts w:cs="宋体"/>
                <w:color w:val="000000" w:themeColor="text1"/>
                <w:spacing w:val="-2"/>
                <w:sz w:val="22"/>
                <w:u w:val="none"/>
              </w:rPr>
            </w:pPr>
            <w:r>
              <w:rPr>
                <w:rFonts w:hint="eastAsia" w:cs="宋体"/>
                <w:color w:val="000000" w:themeColor="text1"/>
                <w:spacing w:val="-2"/>
                <w:sz w:val="22"/>
                <w:u w:val="none"/>
              </w:rPr>
              <w:t xml:space="preserve">2.3</w:t>
            </w:r>
            <w:r/>
          </w:p>
        </w:tc>
        <w:tc>
          <w:tcPr>
            <w:tcW w:w="1179" w:type="dxa"/>
            <w:vAlign w:val="center"/>
            <w:textDirection w:val="lrTb"/>
            <w:noWrap w:val="false"/>
          </w:tcPr>
          <w:p>
            <w:pPr>
              <w:spacing w:line="360" w:lineRule="auto"/>
              <w:rPr>
                <w:rFonts w:cs="宋体"/>
                <w:color w:val="000000" w:themeColor="text1"/>
                <w:sz w:val="22"/>
                <w:u w:val="none"/>
              </w:rPr>
            </w:pPr>
            <w:r>
              <w:rPr>
                <w:rFonts w:hint="eastAsia" w:cs="宋体"/>
                <w:color w:val="000000" w:themeColor="text1"/>
                <w:sz w:val="22"/>
                <w:u w:val="none"/>
              </w:rPr>
              <w:t xml:space="preserve">产品证明</w:t>
            </w:r>
            <w:r/>
          </w:p>
        </w:tc>
        <w:tc>
          <w:tcPr>
            <w:tcW w:w="6330" w:type="dxa"/>
            <w:vAlign w:val="center"/>
            <w:textDirection w:val="lrTb"/>
            <w:noWrap w:val="false"/>
          </w:tcPr>
          <w:p>
            <w:pPr>
              <w:jc w:val="left"/>
              <w:widowControl/>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 xml:space="preserve">1、投标人或所投AI体育系统</w:t>
            </w:r>
            <w:r>
              <w:rPr>
                <w:rFonts w:hint="eastAsia" w:asciiTheme="minorEastAsia" w:hAnsiTheme="minorEastAsia" w:eastAsiaTheme="minorEastAsia" w:cstheme="minorEastAsia"/>
                <w:color w:val="auto"/>
                <w:sz w:val="24"/>
                <w:szCs w:val="24"/>
                <w:u w:val="none"/>
                <w:lang w:eastAsia="zh-CN"/>
              </w:rPr>
              <w:t xml:space="preserve">：</w:t>
            </w:r>
            <w:r>
              <w:rPr>
                <w:rFonts w:hint="eastAsia" w:asciiTheme="minorEastAsia" w:hAnsiTheme="minorEastAsia" w:eastAsiaTheme="minorEastAsia" w:cstheme="minorEastAsia"/>
                <w:color w:val="auto"/>
                <w:sz w:val="24"/>
                <w:szCs w:val="24"/>
                <w:u w:val="none"/>
              </w:rPr>
              <w:t xml:space="preserve">课程设置管理支持用户创建AI运动课程，用户可设置课程适合学段、每组训练动作、每个动作时间、组循环次数、组间休息时间。系统提供动作供用户选择</w:t>
            </w:r>
            <w:r>
              <w:rPr>
                <w:rFonts w:hint="eastAsia" w:asciiTheme="minorEastAsia" w:hAnsiTheme="minorEastAsia" w:eastAsiaTheme="minorEastAsia" w:cstheme="minorEastAsia"/>
                <w:color w:val="auto"/>
                <w:sz w:val="24"/>
                <w:szCs w:val="24"/>
                <w:u w:val="none"/>
                <w:lang w:eastAsia="zh-CN"/>
              </w:rPr>
              <w:t xml:space="preserve">，</w:t>
            </w:r>
            <w:r>
              <w:rPr>
                <w:rFonts w:hint="eastAsia" w:asciiTheme="minorEastAsia" w:hAnsiTheme="minorEastAsia" w:eastAsiaTheme="minorEastAsia" w:cstheme="minorEastAsia"/>
                <w:color w:val="auto"/>
                <w:sz w:val="24"/>
                <w:szCs w:val="24"/>
                <w:u w:val="none"/>
                <w:lang w:val="en-US" w:eastAsia="zh-CN"/>
              </w:rPr>
              <w:t xml:space="preserve">提供少于10个动作</w:t>
            </w:r>
            <w:r>
              <w:rPr>
                <w:rFonts w:hint="eastAsia" w:asciiTheme="minorEastAsia" w:hAnsiTheme="minorEastAsia" w:eastAsiaTheme="minorEastAsia" w:cstheme="minorEastAsia"/>
                <w:color w:val="auto"/>
                <w:sz w:val="24"/>
                <w:szCs w:val="24"/>
                <w:u w:val="none"/>
              </w:rPr>
              <w:t xml:space="preserve">不得分</w:t>
            </w:r>
            <w:r>
              <w:rPr>
                <w:rFonts w:hint="eastAsia" w:asciiTheme="minorEastAsia" w:hAnsiTheme="minorEastAsia" w:eastAsiaTheme="minorEastAsia" w:cstheme="minorEastAsia"/>
                <w:color w:val="auto"/>
                <w:sz w:val="24"/>
                <w:szCs w:val="24"/>
                <w:u w:val="none"/>
                <w:lang w:eastAsia="zh-CN"/>
              </w:rPr>
              <w:t xml:space="preserve">，</w:t>
            </w:r>
            <w:r>
              <w:rPr>
                <w:rFonts w:hint="eastAsia" w:asciiTheme="minorEastAsia" w:hAnsiTheme="minorEastAsia" w:eastAsiaTheme="minorEastAsia" w:cstheme="minorEastAsia"/>
                <w:color w:val="auto"/>
                <w:sz w:val="24"/>
                <w:szCs w:val="24"/>
                <w:u w:val="none"/>
                <w:lang w:val="en-US" w:eastAsia="zh-CN"/>
              </w:rPr>
              <w:t xml:space="preserve">提供10-19</w:t>
            </w:r>
            <w:r>
              <w:rPr>
                <w:rFonts w:hint="eastAsia" w:asciiTheme="minorEastAsia" w:hAnsiTheme="minorEastAsia" w:eastAsiaTheme="minorEastAsia" w:cstheme="minorEastAsia"/>
                <w:color w:val="auto"/>
                <w:sz w:val="24"/>
                <w:szCs w:val="24"/>
                <w:u w:val="none"/>
              </w:rPr>
              <w:t xml:space="preserve">个</w:t>
            </w:r>
            <w:r>
              <w:rPr>
                <w:rFonts w:hint="eastAsia" w:asciiTheme="minorEastAsia" w:hAnsiTheme="minorEastAsia" w:eastAsiaTheme="minorEastAsia" w:cstheme="minorEastAsia"/>
                <w:color w:val="auto"/>
                <w:sz w:val="24"/>
                <w:szCs w:val="24"/>
                <w:u w:val="none"/>
                <w:lang w:val="en-US" w:eastAsia="zh-CN"/>
              </w:rPr>
              <w:t xml:space="preserve">动作得1分</w:t>
            </w:r>
            <w:r>
              <w:rPr>
                <w:rFonts w:hint="eastAsia" w:asciiTheme="minorEastAsia" w:hAnsiTheme="minorEastAsia" w:eastAsiaTheme="minorEastAsia" w:cstheme="minorEastAsia"/>
                <w:color w:val="auto"/>
                <w:sz w:val="24"/>
                <w:szCs w:val="24"/>
                <w:u w:val="none"/>
              </w:rPr>
              <w:t xml:space="preserve">，</w:t>
            </w:r>
            <w:r>
              <w:rPr>
                <w:rFonts w:hint="eastAsia" w:asciiTheme="minorEastAsia" w:hAnsiTheme="minorEastAsia" w:eastAsiaTheme="minorEastAsia" w:cstheme="minorEastAsia"/>
                <w:color w:val="auto"/>
                <w:sz w:val="24"/>
                <w:szCs w:val="24"/>
                <w:u w:val="none"/>
                <w:lang w:val="en-US" w:eastAsia="zh-CN"/>
              </w:rPr>
              <w:t xml:space="preserve">提供20个及以上</w:t>
            </w:r>
            <w:r>
              <w:rPr>
                <w:rFonts w:hint="eastAsia" w:asciiTheme="minorEastAsia" w:hAnsiTheme="minorEastAsia" w:eastAsiaTheme="minorEastAsia" w:cstheme="minorEastAsia"/>
                <w:color w:val="auto"/>
                <w:sz w:val="24"/>
                <w:szCs w:val="24"/>
                <w:u w:val="none"/>
              </w:rPr>
              <w:t xml:space="preserve">得2分。（提供产品功能截图</w:t>
            </w:r>
            <w:r>
              <w:rPr>
                <w:rFonts w:hint="eastAsia" w:asciiTheme="minorEastAsia" w:hAnsiTheme="minorEastAsia" w:eastAsiaTheme="minorEastAsia" w:cstheme="minorEastAsia"/>
                <w:color w:val="auto"/>
                <w:sz w:val="24"/>
                <w:szCs w:val="24"/>
                <w:u w:val="none"/>
                <w:lang w:val="en-US" w:eastAsia="zh-CN"/>
              </w:rPr>
              <w:t xml:space="preserve">加盖公章</w:t>
            </w:r>
            <w:r>
              <w:rPr>
                <w:rFonts w:hint="eastAsia" w:asciiTheme="minorEastAsia" w:hAnsiTheme="minorEastAsia" w:eastAsiaTheme="minorEastAsia" w:cstheme="minorEastAsia"/>
                <w:color w:val="auto"/>
                <w:sz w:val="24"/>
                <w:szCs w:val="24"/>
                <w:u w:val="none"/>
              </w:rPr>
              <w:t xml:space="preserve">）</w:t>
            </w:r>
            <w:r/>
          </w:p>
          <w:p>
            <w:pPr>
              <w:jc w:val="left"/>
              <w:widowControl/>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 xml:space="preserve">2、投标人所投短跑、中长跑AI立柜式一体机</w:t>
            </w:r>
            <w:r>
              <w:rPr>
                <w:rFonts w:hint="eastAsia" w:asciiTheme="minorEastAsia" w:hAnsiTheme="minorEastAsia" w:eastAsiaTheme="minorEastAsia" w:cstheme="minorEastAsia"/>
                <w:color w:val="auto"/>
                <w:sz w:val="24"/>
                <w:szCs w:val="24"/>
                <w:u w:val="none"/>
                <w:lang w:eastAsia="zh-CN"/>
              </w:rPr>
              <w:t xml:space="preserve">。</w:t>
            </w:r>
            <w:r>
              <w:rPr>
                <w:rFonts w:hint="eastAsia" w:asciiTheme="minorEastAsia" w:hAnsiTheme="minorEastAsia" w:eastAsiaTheme="minorEastAsia" w:cstheme="minorEastAsia"/>
                <w:color w:val="auto"/>
                <w:sz w:val="24"/>
                <w:szCs w:val="24"/>
                <w:u w:val="none"/>
              </w:rPr>
              <w:t xml:space="preserve">体能锻炼项目</w:t>
            </w:r>
            <w:r>
              <w:rPr>
                <w:rFonts w:hint="eastAsia" w:asciiTheme="minorEastAsia" w:hAnsiTheme="minorEastAsia" w:eastAsiaTheme="minorEastAsia" w:cstheme="minorEastAsia"/>
                <w:color w:val="auto"/>
                <w:sz w:val="24"/>
                <w:szCs w:val="24"/>
                <w:u w:val="none"/>
                <w:lang w:val="en-US" w:eastAsia="zh-CN"/>
              </w:rPr>
              <w:t xml:space="preserve">比如：</w:t>
            </w:r>
            <w:r>
              <w:rPr>
                <w:rFonts w:hint="eastAsia" w:asciiTheme="minorEastAsia" w:hAnsiTheme="minorEastAsia" w:eastAsiaTheme="minorEastAsia" w:cstheme="minorEastAsia"/>
                <w:color w:val="auto"/>
                <w:sz w:val="24"/>
                <w:szCs w:val="24"/>
                <w:u w:val="none"/>
              </w:rPr>
              <w:t xml:space="preserve">蹲跳、高抬腿、开合跳、俯卧撑、原地跑、燕式平衡</w:t>
            </w:r>
            <w:r>
              <w:rPr>
                <w:rFonts w:hint="eastAsia" w:asciiTheme="minorEastAsia" w:hAnsiTheme="minorEastAsia" w:eastAsiaTheme="minorEastAsia" w:cstheme="minorEastAsia"/>
                <w:color w:val="auto"/>
                <w:sz w:val="24"/>
                <w:szCs w:val="24"/>
                <w:u w:val="none"/>
                <w:lang w:val="en-US" w:eastAsia="zh-CN"/>
              </w:rPr>
              <w:t xml:space="preserve">等</w:t>
            </w:r>
            <w:r>
              <w:rPr>
                <w:rFonts w:hint="eastAsia" w:asciiTheme="minorEastAsia" w:hAnsiTheme="minorEastAsia" w:eastAsiaTheme="minorEastAsia" w:cstheme="minorEastAsia"/>
                <w:color w:val="auto"/>
                <w:sz w:val="24"/>
                <w:szCs w:val="24"/>
                <w:u w:val="none"/>
              </w:rPr>
              <w:t xml:space="preserve">。</w:t>
            </w:r>
            <w:r>
              <w:rPr>
                <w:rFonts w:hint="eastAsia" w:asciiTheme="minorEastAsia" w:hAnsiTheme="minorEastAsia" w:eastAsiaTheme="minorEastAsia" w:cstheme="minorEastAsia"/>
                <w:color w:val="auto"/>
                <w:sz w:val="24"/>
                <w:szCs w:val="24"/>
                <w:u w:val="none"/>
                <w:lang w:val="en-US" w:eastAsia="zh-CN"/>
              </w:rPr>
              <w:t xml:space="preserve">提供少于10个项目不得分，提供10-19个锻炼项目得1分，提供20个及以上得2分。</w:t>
            </w:r>
            <w:r>
              <w:rPr>
                <w:rFonts w:hint="eastAsia" w:asciiTheme="minorEastAsia" w:hAnsiTheme="minorEastAsia" w:eastAsiaTheme="minorEastAsia" w:cstheme="minorEastAsia"/>
                <w:color w:val="auto"/>
                <w:sz w:val="24"/>
                <w:szCs w:val="24"/>
                <w:u w:val="none"/>
              </w:rPr>
              <w:t xml:space="preserve">（提供产品功能截图</w:t>
            </w:r>
            <w:r>
              <w:rPr>
                <w:rFonts w:hint="eastAsia" w:asciiTheme="minorEastAsia" w:hAnsiTheme="minorEastAsia" w:eastAsiaTheme="minorEastAsia" w:cstheme="minorEastAsia"/>
                <w:color w:val="auto"/>
                <w:sz w:val="24"/>
                <w:szCs w:val="24"/>
                <w:u w:val="none"/>
                <w:lang w:val="en-US" w:eastAsia="zh-CN"/>
              </w:rPr>
              <w:t xml:space="preserve">加盖公章</w:t>
            </w:r>
            <w:r>
              <w:rPr>
                <w:rFonts w:hint="eastAsia" w:asciiTheme="minorEastAsia" w:hAnsiTheme="minorEastAsia" w:eastAsiaTheme="minorEastAsia" w:cstheme="minorEastAsia"/>
                <w:color w:val="auto"/>
                <w:sz w:val="24"/>
                <w:szCs w:val="24"/>
                <w:u w:val="none"/>
              </w:rPr>
              <w:t xml:space="preserve">）</w:t>
            </w:r>
            <w:r/>
          </w:p>
          <w:p>
            <w:pPr>
              <w:jc w:val="left"/>
              <w:spacing w:line="360" w:lineRule="auto"/>
              <w:widowControl/>
              <w:rPr>
                <w:rFonts w:hint="eastAsia" w:asciiTheme="minorEastAsia" w:hAnsiTheme="minorEastAsia" w:eastAsiaTheme="minorEastAsia" w:cstheme="minorEastAsia"/>
                <w:color w:val="000000" w:themeColor="text1"/>
                <w:sz w:val="24"/>
                <w:szCs w:val="24"/>
                <w:u w:val="none"/>
              </w:rPr>
            </w:pPr>
            <w:r>
              <w:rPr>
                <w:rFonts w:hint="eastAsia" w:asciiTheme="minorEastAsia" w:hAnsiTheme="minorEastAsia" w:eastAsiaTheme="minorEastAsia" w:cstheme="minorEastAsia"/>
                <w:color w:val="000000" w:themeColor="text1"/>
                <w:sz w:val="24"/>
                <w:szCs w:val="24"/>
                <w:u w:val="none"/>
              </w:rPr>
              <w:t xml:space="preserve">3、投标人或所投移动式羽毛球地垫：</w:t>
            </w:r>
            <w:r/>
          </w:p>
          <w:p>
            <w:pPr>
              <w:jc w:val="left"/>
              <w:spacing w:line="360" w:lineRule="auto"/>
              <w:widowControl/>
              <w:rPr>
                <w:rFonts w:cs="宋体"/>
                <w:color w:val="000000" w:themeColor="text1"/>
                <w:sz w:val="22"/>
                <w:u w:val="none"/>
              </w:rPr>
            </w:pPr>
            <w:r>
              <w:rPr>
                <w:rFonts w:hint="eastAsia" w:asciiTheme="minorEastAsia" w:hAnsiTheme="minorEastAsia" w:eastAsiaTheme="minorEastAsia" w:cstheme="minorEastAsia"/>
                <w:color w:val="000000" w:themeColor="text1"/>
                <w:sz w:val="24"/>
                <w:szCs w:val="24"/>
                <w:u w:val="none"/>
              </w:rPr>
              <w:t xml:space="preserve">提供焊接强度平均焊接强度大于1000N/50MM.最小焊接强度大于1000N/50MM，依据GB/T11982.1-2015标准的检测报告（提供具有CMA或CNAS标识的检测报告复印件加盖公章）符合得2分，不符合不得分。</w:t>
            </w:r>
            <w:r/>
          </w:p>
        </w:tc>
        <w:tc>
          <w:tcPr>
            <w:tcW w:w="647" w:type="dxa"/>
            <w:vAlign w:val="center"/>
            <w:textDirection w:val="lrTb"/>
            <w:noWrap w:val="false"/>
          </w:tcPr>
          <w:p>
            <w:pPr>
              <w:jc w:val="center"/>
              <w:spacing w:before="68" w:line="360" w:lineRule="auto"/>
              <w:rPr>
                <w:rFonts w:cs="宋体"/>
                <w:color w:val="000000" w:themeColor="text1"/>
                <w:sz w:val="22"/>
                <w:u w:val="none"/>
              </w:rPr>
            </w:pPr>
            <w:r>
              <w:rPr>
                <w:rFonts w:hint="eastAsia" w:cs="宋体"/>
                <w:color w:val="000000" w:themeColor="text1"/>
                <w:sz w:val="22"/>
                <w:u w:val="none"/>
              </w:rPr>
              <w:t xml:space="preserve">6</w:t>
            </w:r>
            <w:r/>
          </w:p>
        </w:tc>
        <w:tc>
          <w:tcPr>
            <w:tcW w:w="900" w:type="dxa"/>
            <w:vAlign w:val="center"/>
            <w:textDirection w:val="lrTb"/>
            <w:noWrap w:val="false"/>
          </w:tcPr>
          <w:p>
            <w:pPr>
              <w:jc w:val="center"/>
              <w:spacing w:before="68" w:line="360" w:lineRule="auto"/>
              <w:rPr>
                <w:rFonts w:cs="宋体"/>
                <w:color w:val="000000" w:themeColor="text1"/>
                <w:sz w:val="22"/>
                <w:u w:val="none"/>
              </w:rPr>
            </w:pPr>
            <w:r>
              <w:rPr>
                <w:rFonts w:cs="宋体"/>
                <w:color w:val="000000" w:themeColor="text1"/>
                <w:sz w:val="22"/>
                <w:u w:val="none"/>
              </w:rPr>
            </w:r>
            <w:r/>
          </w:p>
        </w:tc>
      </w:tr>
      <w:tr>
        <w:trPr>
          <w:jc w:val="center"/>
          <w:trHeight w:val="889"/>
        </w:trPr>
        <w:tc>
          <w:tcPr>
            <w:tcW w:w="519" w:type="dxa"/>
            <w:vAlign w:val="center"/>
            <w:textDirection w:val="lrTb"/>
            <w:noWrap w:val="false"/>
          </w:tcPr>
          <w:p>
            <w:pPr>
              <w:jc w:val="center"/>
              <w:spacing w:before="68" w:line="360" w:lineRule="auto"/>
              <w:rPr>
                <w:rFonts w:cs="宋体"/>
                <w:color w:val="000000" w:themeColor="text1"/>
                <w:spacing w:val="-2"/>
                <w:sz w:val="22"/>
                <w:u w:val="none"/>
              </w:rPr>
            </w:pPr>
            <w:r>
              <w:rPr>
                <w:rFonts w:hint="eastAsia" w:cs="宋体"/>
                <w:color w:val="000000" w:themeColor="text1"/>
                <w:spacing w:val="-2"/>
                <w:sz w:val="22"/>
                <w:u w:val="none"/>
              </w:rPr>
              <w:t xml:space="preserve">2.4</w:t>
            </w:r>
            <w:r/>
          </w:p>
        </w:tc>
        <w:tc>
          <w:tcPr>
            <w:tcW w:w="1179" w:type="dxa"/>
            <w:vAlign w:val="center"/>
            <w:textDirection w:val="lrTb"/>
            <w:noWrap w:val="false"/>
          </w:tcPr>
          <w:p>
            <w:pPr>
              <w:spacing w:line="360" w:lineRule="auto"/>
              <w:rPr>
                <w:rFonts w:cs="宋体"/>
                <w:color w:val="000000" w:themeColor="text1"/>
                <w:sz w:val="22"/>
                <w:u w:val="none"/>
              </w:rPr>
            </w:pPr>
            <w:r>
              <w:rPr>
                <w:rFonts w:hint="eastAsia" w:cs="宋体"/>
                <w:color w:val="000000" w:themeColor="text1"/>
                <w:sz w:val="22"/>
                <w:u w:val="none"/>
              </w:rPr>
              <w:t xml:space="preserve">软件著作权证书</w:t>
            </w:r>
            <w:r/>
          </w:p>
        </w:tc>
        <w:tc>
          <w:tcPr>
            <w:tcW w:w="6330" w:type="dxa"/>
            <w:vAlign w:val="center"/>
            <w:textDirection w:val="lrTb"/>
            <w:noWrap w:val="false"/>
          </w:tcPr>
          <w:p>
            <w:pPr>
              <w:pStyle w:val="1154"/>
              <w:ind w:left="0"/>
              <w:spacing w:line="360" w:lineRule="auto"/>
              <w:rPr>
                <w:rFonts w:cs="宋体"/>
                <w:color w:val="000000" w:themeColor="text1"/>
                <w:sz w:val="22"/>
                <w:u w:val="none"/>
              </w:rPr>
            </w:pPr>
            <w:r>
              <w:rPr>
                <w:rFonts w:hint="eastAsia" w:cs="宋体"/>
                <w:color w:val="000000" w:themeColor="text1"/>
                <w:sz w:val="22"/>
                <w:u w:val="none"/>
              </w:rPr>
              <w:t xml:space="preserve">为了保障教学、体测与考试数据安全、有效性和稳定性，拟投入本项目的篮球、排球计时记分系统、</w:t>
            </w:r>
            <w:r>
              <w:rPr>
                <w:rFonts w:hint="eastAsia" w:cs="宋体"/>
                <w:color w:val="auto"/>
                <w:sz w:val="22"/>
                <w:u w:val="none"/>
              </w:rPr>
              <w:t xml:space="preserve">AI体育系统产品应具备自主知识产权。</w:t>
            </w:r>
            <w:r>
              <w:rPr>
                <w:rFonts w:hint="eastAsia" w:cs="宋体"/>
                <w:color w:val="000000" w:themeColor="text1"/>
                <w:sz w:val="22"/>
                <w:u w:val="none"/>
              </w:rPr>
              <w:t xml:space="preserve">须提供国家版权局颁发的软件著作权证书，每提供一个上述系统对应软件著作权证书得1分，全部提供得3分。</w:t>
            </w:r>
            <w:r/>
          </w:p>
          <w:p>
            <w:pPr>
              <w:pStyle w:val="1154"/>
              <w:ind w:left="0"/>
              <w:spacing w:line="360" w:lineRule="auto"/>
              <w:rPr>
                <w:color w:val="000000" w:themeColor="text1"/>
                <w:sz w:val="22"/>
                <w:u w:val="none"/>
              </w:rPr>
            </w:pPr>
            <w:r>
              <w:rPr>
                <w:rFonts w:hint="eastAsia" w:cs="宋体"/>
                <w:color w:val="000000" w:themeColor="text1"/>
                <w:sz w:val="22"/>
                <w:u w:val="none"/>
              </w:rPr>
              <w:t xml:space="preserve">备注：允许所提供证书“软件名称”与评审细则规定不同，但须提供符合或包含上述要求的内容（功能）说明，方可得分。</w:t>
            </w:r>
            <w:r/>
          </w:p>
        </w:tc>
        <w:tc>
          <w:tcPr>
            <w:tcW w:w="647" w:type="dxa"/>
            <w:vAlign w:val="center"/>
            <w:textDirection w:val="lrTb"/>
            <w:noWrap w:val="false"/>
          </w:tcPr>
          <w:p>
            <w:pPr>
              <w:jc w:val="center"/>
              <w:spacing w:before="68" w:line="360" w:lineRule="auto"/>
              <w:rPr>
                <w:rFonts w:cs="宋体"/>
                <w:color w:val="000000" w:themeColor="text1"/>
                <w:sz w:val="22"/>
                <w:u w:val="none"/>
              </w:rPr>
            </w:pPr>
            <w:r>
              <w:rPr>
                <w:rFonts w:hint="eastAsia" w:cs="宋体"/>
                <w:color w:val="000000" w:themeColor="text1"/>
                <w:sz w:val="22"/>
                <w:u w:val="none"/>
              </w:rPr>
              <w:t xml:space="preserve">3</w:t>
            </w:r>
            <w:r/>
          </w:p>
        </w:tc>
        <w:tc>
          <w:tcPr>
            <w:tcW w:w="900" w:type="dxa"/>
            <w:vAlign w:val="center"/>
            <w:textDirection w:val="lrTb"/>
            <w:noWrap w:val="false"/>
          </w:tcPr>
          <w:p>
            <w:pPr>
              <w:jc w:val="center"/>
              <w:spacing w:before="68" w:line="360" w:lineRule="auto"/>
              <w:rPr>
                <w:rFonts w:cs="宋体"/>
                <w:color w:val="000000" w:themeColor="text1"/>
                <w:spacing w:val="-6"/>
                <w:sz w:val="22"/>
                <w:u w:val="none"/>
              </w:rPr>
            </w:pPr>
            <w:r>
              <w:rPr>
                <w:rFonts w:cs="宋体"/>
                <w:color w:val="000000" w:themeColor="text1"/>
                <w:spacing w:val="-6"/>
                <w:sz w:val="22"/>
                <w:u w:val="none"/>
              </w:rPr>
            </w:r>
            <w:r/>
          </w:p>
        </w:tc>
      </w:tr>
      <w:tr>
        <w:trPr>
          <w:jc w:val="center"/>
          <w:trHeight w:val="472"/>
        </w:trPr>
        <w:tc>
          <w:tcPr>
            <w:gridSpan w:val="5"/>
            <w:tcW w:w="9575" w:type="dxa"/>
            <w:vAlign w:val="center"/>
            <w:textDirection w:val="lrTb"/>
            <w:noWrap w:val="false"/>
          </w:tcPr>
          <w:p>
            <w:pPr>
              <w:spacing w:before="68" w:line="360" w:lineRule="auto"/>
              <w:rPr>
                <w:rFonts w:cs="宋体"/>
                <w:color w:val="000000" w:themeColor="text1"/>
                <w:sz w:val="22"/>
                <w:u w:val="none"/>
              </w:rPr>
            </w:pPr>
            <w:r>
              <w:rPr>
                <w:rFonts w:hint="eastAsia" w:cs="宋体"/>
                <w:b/>
                <w:bCs/>
                <w:color w:val="000000" w:themeColor="text1"/>
                <w:spacing w:val="-3"/>
                <w:sz w:val="22"/>
                <w:u w:val="none"/>
              </w:rPr>
              <w:t xml:space="preserve">3.服务</w:t>
            </w:r>
            <w:r/>
          </w:p>
        </w:tc>
      </w:tr>
      <w:tr>
        <w:trPr>
          <w:jc w:val="center"/>
          <w:trHeight w:val="1083"/>
        </w:trPr>
        <w:tc>
          <w:tcPr>
            <w:tcW w:w="519" w:type="dxa"/>
            <w:vAlign w:val="center"/>
            <w:textDirection w:val="lrTb"/>
            <w:noWrap w:val="false"/>
          </w:tcPr>
          <w:p>
            <w:pPr>
              <w:jc w:val="center"/>
              <w:spacing w:before="68" w:line="360" w:lineRule="auto"/>
              <w:rPr>
                <w:rFonts w:cs="宋体"/>
                <w:color w:val="000000" w:themeColor="text1"/>
                <w:spacing w:val="-2"/>
                <w:sz w:val="22"/>
                <w:u w:val="none"/>
              </w:rPr>
            </w:pPr>
            <w:r>
              <w:rPr>
                <w:rFonts w:hint="eastAsia" w:cs="宋体"/>
                <w:color w:val="000000" w:themeColor="text1"/>
                <w:spacing w:val="-2"/>
                <w:sz w:val="22"/>
                <w:u w:val="none"/>
              </w:rPr>
              <w:t xml:space="preserve">3.1</w:t>
            </w:r>
            <w:r/>
          </w:p>
        </w:tc>
        <w:tc>
          <w:tcPr>
            <w:tcW w:w="1179" w:type="dxa"/>
            <w:vAlign w:val="center"/>
            <w:textDirection w:val="lrTb"/>
            <w:noWrap w:val="false"/>
          </w:tcPr>
          <w:p>
            <w:pPr>
              <w:jc w:val="left"/>
              <w:spacing w:before="68" w:line="360" w:lineRule="auto"/>
              <w:rPr>
                <w:rFonts w:cs="宋体"/>
                <w:color w:val="000000" w:themeColor="text1"/>
                <w:spacing w:val="-2"/>
                <w:sz w:val="22"/>
                <w:u w:val="none"/>
              </w:rPr>
            </w:pPr>
            <w:r>
              <w:rPr>
                <w:rFonts w:hint="eastAsia" w:cs="宋体"/>
                <w:color w:val="000000" w:themeColor="text1"/>
                <w:spacing w:val="-2"/>
                <w:sz w:val="22"/>
                <w:u w:val="none"/>
              </w:rPr>
              <w:t xml:space="preserve">实施方案</w:t>
            </w:r>
            <w:r/>
          </w:p>
        </w:tc>
        <w:tc>
          <w:tcPr>
            <w:tcW w:w="6330" w:type="dxa"/>
            <w:vAlign w:val="center"/>
            <w:textDirection w:val="lrTb"/>
            <w:noWrap w:val="false"/>
          </w:tcPr>
          <w:p>
            <w:pPr>
              <w:pStyle w:val="1147"/>
              <w:spacing w:line="360" w:lineRule="auto"/>
              <w:rPr>
                <w:rFonts w:ascii="Times New Roman" w:hAnsi="Times New Roman"/>
                <w:color w:val="000000" w:themeColor="text1"/>
                <w:u w:val="none"/>
                <w:lang w:eastAsia="zh-CN"/>
              </w:rPr>
            </w:pPr>
            <w:r>
              <w:rPr>
                <w:rFonts w:ascii="Times New Roman" w:hAnsi="Times New Roman"/>
                <w:color w:val="000000" w:themeColor="text1"/>
                <w:u w:val="none"/>
                <w:lang w:eastAsia="zh-CN"/>
              </w:rPr>
              <w:t xml:space="preserve">评委根据投标人提供的</w:t>
            </w:r>
            <w:r>
              <w:rPr>
                <w:rFonts w:hint="eastAsia" w:ascii="Times New Roman" w:hAnsi="Times New Roman"/>
                <w:color w:val="000000" w:themeColor="text1"/>
                <w:u w:val="none"/>
                <w:lang w:eastAsia="zh-CN"/>
              </w:rPr>
              <w:t xml:space="preserve">技术实施方案评分（3分）：</w:t>
            </w:r>
            <w:r/>
          </w:p>
          <w:p>
            <w:pPr>
              <w:pStyle w:val="1147"/>
              <w:spacing w:line="360" w:lineRule="auto"/>
              <w:rPr>
                <w:rFonts w:ascii="Times New Roman" w:hAnsi="Times New Roman"/>
                <w:color w:val="000000" w:themeColor="text1"/>
                <w:u w:val="none"/>
                <w:lang w:eastAsia="zh-CN"/>
              </w:rPr>
            </w:pPr>
            <w:r>
              <w:rPr>
                <w:rFonts w:hint="eastAsia" w:ascii="Times New Roman" w:hAnsi="Times New Roman"/>
                <w:color w:val="000000" w:themeColor="text1"/>
                <w:u w:val="none"/>
                <w:lang w:eastAsia="zh-CN"/>
              </w:rPr>
              <w:t xml:space="preserve"> 1. 方案完整性（1.5分）</w:t>
            </w:r>
            <w:r/>
          </w:p>
          <w:p>
            <w:pPr>
              <w:pStyle w:val="1147"/>
              <w:spacing w:line="360" w:lineRule="auto"/>
              <w:rPr>
                <w:rFonts w:ascii="Times New Roman" w:hAnsi="Times New Roman"/>
                <w:color w:val="000000" w:themeColor="text1"/>
                <w:u w:val="none"/>
                <w:lang w:eastAsia="zh-CN"/>
              </w:rPr>
            </w:pPr>
            <w:r>
              <w:rPr>
                <w:rFonts w:hint="eastAsia" w:ascii="Times New Roman" w:hAnsi="Times New Roman"/>
                <w:color w:val="000000" w:themeColor="text1"/>
                <w:u w:val="none"/>
                <w:lang w:eastAsia="zh-CN"/>
              </w:rPr>
              <w:t xml:space="preserve">包含以下2项内容，缺1项扣0.75分：</w:t>
            </w:r>
            <w:r/>
          </w:p>
          <w:p>
            <w:pPr>
              <w:pStyle w:val="1147"/>
              <w:spacing w:line="360" w:lineRule="auto"/>
              <w:rPr>
                <w:rFonts w:ascii="Times New Roman" w:hAnsi="Times New Roman"/>
                <w:color w:val="000000" w:themeColor="text1"/>
                <w:u w:val="none"/>
                <w:lang w:eastAsia="zh-CN"/>
              </w:rPr>
            </w:pPr>
            <w:r>
              <w:rPr>
                <w:rFonts w:hint="eastAsia" w:ascii="Times New Roman" w:hAnsi="Times New Roman"/>
                <w:color w:val="000000" w:themeColor="text1"/>
                <w:u w:val="none"/>
                <w:lang w:eastAsia="zh-CN"/>
              </w:rPr>
              <w:t xml:space="preserve">（1）器材安装通用方案（需明确适配高中体育场地的常规安全规范，如地面平整度要求、防护距离标准）；</w:t>
            </w:r>
            <w:r/>
          </w:p>
          <w:p>
            <w:pPr>
              <w:pStyle w:val="1147"/>
              <w:spacing w:line="360" w:lineRule="auto"/>
              <w:rPr>
                <w:rFonts w:ascii="Times New Roman" w:hAnsi="Times New Roman"/>
                <w:color w:val="000000" w:themeColor="text1"/>
                <w:u w:val="none"/>
                <w:lang w:eastAsia="zh-CN"/>
              </w:rPr>
            </w:pPr>
            <w:r>
              <w:rPr>
                <w:rFonts w:hint="eastAsia" w:ascii="Times New Roman" w:hAnsi="Times New Roman"/>
                <w:color w:val="000000" w:themeColor="text1"/>
                <w:u w:val="none"/>
                <w:lang w:eastAsia="zh-CN"/>
              </w:rPr>
              <w:t xml:space="preserve">（2）交货与验收配合方案（含按学校要求的到货时间衔接、现场清点流程）。</w:t>
            </w:r>
            <w:r/>
          </w:p>
          <w:p>
            <w:pPr>
              <w:pStyle w:val="1147"/>
              <w:spacing w:line="360" w:lineRule="auto"/>
              <w:rPr>
                <w:rFonts w:ascii="Times New Roman" w:hAnsi="Times New Roman"/>
                <w:color w:val="000000" w:themeColor="text1"/>
                <w:u w:val="none"/>
                <w:lang w:eastAsia="zh-CN"/>
              </w:rPr>
            </w:pPr>
            <w:r>
              <w:rPr>
                <w:rFonts w:hint="eastAsia" w:ascii="Times New Roman" w:hAnsi="Times New Roman"/>
                <w:color w:val="000000" w:themeColor="text1"/>
                <w:u w:val="none"/>
                <w:lang w:eastAsia="zh-CN"/>
              </w:rPr>
              <w:t xml:space="preserve">2. 实用性与合规性（1.5分）</w:t>
            </w:r>
            <w:r/>
          </w:p>
          <w:p>
            <w:pPr>
              <w:pStyle w:val="1147"/>
              <w:spacing w:line="360" w:lineRule="auto"/>
              <w:rPr>
                <w:rFonts w:ascii="Times New Roman" w:hAnsi="Times New Roman"/>
                <w:color w:val="000000" w:themeColor="text1"/>
                <w:u w:val="none"/>
                <w:lang w:eastAsia="zh-CN"/>
              </w:rPr>
            </w:pPr>
            <w:r>
              <w:rPr>
                <w:rFonts w:hint="eastAsia" w:ascii="Times New Roman" w:hAnsi="Times New Roman"/>
                <w:color w:val="000000" w:themeColor="text1"/>
                <w:u w:val="none"/>
                <w:lang w:eastAsia="zh-CN"/>
              </w:rPr>
              <w:t xml:space="preserve">同时满足以下2点得满分，任1点不符扣0.75分：</w:t>
            </w:r>
            <w:r/>
          </w:p>
          <w:p>
            <w:pPr>
              <w:pStyle w:val="1147"/>
              <w:spacing w:line="360" w:lineRule="auto"/>
              <w:rPr>
                <w:rFonts w:ascii="Times New Roman" w:hAnsi="Times New Roman"/>
                <w:color w:val="000000" w:themeColor="text1"/>
                <w:u w:val="none"/>
                <w:lang w:eastAsia="zh-CN"/>
              </w:rPr>
            </w:pPr>
            <w:r>
              <w:rPr>
                <w:rFonts w:hint="eastAsia" w:ascii="Times New Roman" w:hAnsi="Times New Roman"/>
                <w:color w:val="000000" w:themeColor="text1"/>
                <w:u w:val="none"/>
                <w:lang w:eastAsia="zh-CN"/>
              </w:rPr>
              <w:t xml:space="preserve">（1）方案中包含针对高中学生使用特点的器材安装加固措施；</w:t>
            </w:r>
            <w:r/>
          </w:p>
          <w:p>
            <w:pPr>
              <w:pStyle w:val="1147"/>
              <w:spacing w:line="360" w:lineRule="auto"/>
              <w:rPr>
                <w:rFonts w:ascii="Times New Roman" w:hAnsi="Times New Roman"/>
                <w:color w:val="000000" w:themeColor="text1"/>
                <w:u w:val="none"/>
                <w:lang w:eastAsia="zh-CN"/>
              </w:rPr>
            </w:pPr>
            <w:r>
              <w:rPr>
                <w:rFonts w:hint="eastAsia" w:ascii="Times New Roman" w:hAnsi="Times New Roman"/>
                <w:color w:val="000000" w:themeColor="text1"/>
                <w:u w:val="none"/>
                <w:lang w:eastAsia="zh-CN"/>
              </w:rPr>
              <w:t xml:space="preserve">（2）引用现行《中小学体育器材和场地》国家标准（标注具体编号），无与标准冲突的内容。</w:t>
            </w:r>
            <w:r/>
          </w:p>
        </w:tc>
        <w:tc>
          <w:tcPr>
            <w:tcW w:w="647" w:type="dxa"/>
            <w:vAlign w:val="center"/>
            <w:textDirection w:val="lrTb"/>
            <w:noWrap w:val="false"/>
          </w:tcPr>
          <w:p>
            <w:pPr>
              <w:jc w:val="center"/>
              <w:spacing w:before="68" w:line="360" w:lineRule="auto"/>
              <w:rPr>
                <w:rFonts w:hint="eastAsia" w:eastAsia="宋体" w:cs="宋体"/>
                <w:color w:val="000000" w:themeColor="text1"/>
                <w:sz w:val="22"/>
                <w:u w:val="none"/>
                <w:lang w:eastAsia="zh-CN"/>
              </w:rPr>
            </w:pPr>
            <w:r>
              <w:rPr>
                <w:rFonts w:hint="eastAsia" w:cs="宋体"/>
                <w:color w:val="0000ff"/>
                <w:sz w:val="22"/>
                <w:u w:val="none"/>
                <w:lang w:val="en-US" w:eastAsia="zh-CN"/>
              </w:rPr>
              <w:t xml:space="preserve">3</w:t>
            </w:r>
            <w:r/>
          </w:p>
        </w:tc>
        <w:tc>
          <w:tcPr>
            <w:tcW w:w="900" w:type="dxa"/>
            <w:vAlign w:val="center"/>
            <w:textDirection w:val="lrTb"/>
            <w:noWrap w:val="false"/>
          </w:tcPr>
          <w:p>
            <w:pPr>
              <w:jc w:val="center"/>
              <w:spacing w:before="68" w:line="360" w:lineRule="auto"/>
              <w:rPr>
                <w:rFonts w:cs="宋体"/>
                <w:color w:val="000000" w:themeColor="text1"/>
                <w:spacing w:val="-6"/>
                <w:sz w:val="22"/>
                <w:u w:val="none"/>
              </w:rPr>
            </w:pPr>
            <w:r>
              <w:rPr>
                <w:rFonts w:cs="宋体"/>
                <w:color w:val="000000" w:themeColor="text1"/>
                <w:spacing w:val="-6"/>
                <w:sz w:val="22"/>
                <w:u w:val="none"/>
              </w:rPr>
            </w:r>
            <w:r/>
          </w:p>
        </w:tc>
      </w:tr>
      <w:tr>
        <w:trPr>
          <w:jc w:val="center"/>
          <w:trHeight w:val="133"/>
        </w:trPr>
        <w:tc>
          <w:tcPr>
            <w:tcW w:w="519" w:type="dxa"/>
            <w:vAlign w:val="center"/>
            <w:textDirection w:val="lrTb"/>
            <w:noWrap w:val="false"/>
          </w:tcPr>
          <w:p>
            <w:pPr>
              <w:jc w:val="center"/>
              <w:spacing w:before="68" w:line="360" w:lineRule="auto"/>
              <w:rPr>
                <w:rFonts w:cs="宋体"/>
                <w:color w:val="000000" w:themeColor="text1"/>
                <w:spacing w:val="-2"/>
                <w:sz w:val="22"/>
                <w:u w:val="none"/>
              </w:rPr>
            </w:pPr>
            <w:r>
              <w:rPr>
                <w:rFonts w:hint="eastAsia" w:cs="宋体"/>
                <w:color w:val="000000" w:themeColor="text1"/>
                <w:spacing w:val="-2"/>
                <w:sz w:val="22"/>
                <w:u w:val="none"/>
              </w:rPr>
              <w:t xml:space="preserve">3.2</w:t>
            </w:r>
            <w:r/>
          </w:p>
        </w:tc>
        <w:tc>
          <w:tcPr>
            <w:tcW w:w="1179" w:type="dxa"/>
            <w:vAlign w:val="center"/>
            <w:textDirection w:val="lrTb"/>
            <w:noWrap w:val="false"/>
          </w:tcPr>
          <w:p>
            <w:pPr>
              <w:jc w:val="left"/>
              <w:spacing w:before="68" w:line="360" w:lineRule="auto"/>
              <w:rPr>
                <w:rFonts w:cs="宋体"/>
                <w:color w:val="000000" w:themeColor="text1"/>
                <w:spacing w:val="-2"/>
                <w:sz w:val="22"/>
                <w:u w:val="none"/>
              </w:rPr>
            </w:pPr>
            <w:r>
              <w:rPr>
                <w:rFonts w:hint="eastAsia" w:cs="宋体"/>
                <w:color w:val="000000" w:themeColor="text1"/>
                <w:spacing w:val="-2"/>
                <w:sz w:val="22"/>
                <w:u w:val="none"/>
              </w:rPr>
              <w:t xml:space="preserve">售后服务方案</w:t>
            </w:r>
            <w:r/>
          </w:p>
        </w:tc>
        <w:tc>
          <w:tcPr>
            <w:tcW w:w="6330" w:type="dxa"/>
            <w:vAlign w:val="center"/>
            <w:textDirection w:val="lrTb"/>
            <w:noWrap w:val="false"/>
          </w:tcPr>
          <w:p>
            <w:pPr>
              <w:pStyle w:val="1154"/>
              <w:ind w:left="0"/>
              <w:rPr>
                <w:rFonts w:cs="宋体"/>
                <w:color w:val="000000" w:themeColor="text1"/>
                <w:spacing w:val="-2"/>
                <w:sz w:val="22"/>
                <w:u w:val="none"/>
              </w:rPr>
            </w:pPr>
            <w:r>
              <w:rPr>
                <w:rFonts w:hint="eastAsia" w:cs="宋体"/>
                <w:color w:val="000000" w:themeColor="text1"/>
                <w:spacing w:val="-2"/>
                <w:sz w:val="22"/>
                <w:u w:val="none"/>
              </w:rPr>
              <w:t xml:space="preserve">根据供应商提供的售后服务方案（包括不限于售后服务内容、使用培训、故障响应时间及方式、专业技术人员技术支持等)，由评委进行评议并打分：</w:t>
            </w:r>
            <w:r/>
          </w:p>
          <w:p>
            <w:pPr>
              <w:pStyle w:val="1154"/>
              <w:numPr>
                <w:ilvl w:val="0"/>
                <w:numId w:val="19"/>
              </w:numPr>
              <w:ind w:left="0"/>
              <w:rPr>
                <w:rFonts w:cs="宋体"/>
                <w:color w:val="000000" w:themeColor="text1"/>
                <w:spacing w:val="-2"/>
                <w:sz w:val="22"/>
                <w:u w:val="none"/>
              </w:rPr>
            </w:pPr>
            <w:r>
              <w:rPr>
                <w:rFonts w:hint="eastAsia" w:cs="宋体"/>
                <w:color w:val="000000" w:themeColor="text1"/>
                <w:spacing w:val="-2"/>
                <w:sz w:val="22"/>
                <w:u w:val="none"/>
              </w:rPr>
              <w:t xml:space="preserve">方案包含的要点均应按要求的顺序一一列出，并且内容齐全无缺漏项、内容与要点相符、每个要点均有展开详细的阐述且能够适用于本项目、有添加除以上要点外的其他内容且能够适用于本项目的得3分；</w:t>
            </w:r>
            <w:r/>
          </w:p>
          <w:p>
            <w:pPr>
              <w:pStyle w:val="1154"/>
              <w:numPr>
                <w:ilvl w:val="0"/>
                <w:numId w:val="19"/>
              </w:numPr>
              <w:ind w:left="0"/>
              <w:rPr>
                <w:color w:val="000000" w:themeColor="text1"/>
                <w:u w:val="none"/>
              </w:rPr>
            </w:pPr>
            <w:r>
              <w:rPr>
                <w:rFonts w:hint="eastAsia" w:cs="宋体"/>
                <w:color w:val="000000" w:themeColor="text1"/>
                <w:spacing w:val="-2"/>
                <w:sz w:val="22"/>
                <w:u w:val="none"/>
              </w:rPr>
              <w:t xml:space="preserve">所包含的要点齐全、内容与要点相符、每个要点均有展开阐述（没有特别具体）但基本能够适用于本项目的得2分；</w:t>
            </w:r>
            <w:r/>
          </w:p>
          <w:p>
            <w:pPr>
              <w:pStyle w:val="1154"/>
              <w:numPr>
                <w:ilvl w:val="0"/>
                <w:numId w:val="19"/>
              </w:numPr>
              <w:ind w:left="0"/>
              <w:rPr>
                <w:color w:val="000000" w:themeColor="text1"/>
                <w:u w:val="none"/>
              </w:rPr>
            </w:pPr>
            <w:r>
              <w:rPr>
                <w:rFonts w:hint="eastAsia" w:cs="宋体"/>
                <w:color w:val="000000" w:themeColor="text1"/>
                <w:spacing w:val="-2"/>
                <w:sz w:val="22"/>
                <w:u w:val="none"/>
              </w:rPr>
              <w:t xml:space="preserve">所包含的要点齐全、内容与要点相符但仅有纲要、内容简略，未展开详细阐述但基本能够适用于本项目的得1分；</w:t>
            </w:r>
            <w:r/>
          </w:p>
          <w:p>
            <w:pPr>
              <w:pStyle w:val="1154"/>
              <w:ind w:left="0"/>
              <w:rPr>
                <w:color w:val="000000" w:themeColor="text1"/>
                <w:u w:val="none"/>
              </w:rPr>
            </w:pPr>
            <w:r>
              <w:rPr>
                <w:rFonts w:hint="eastAsia" w:cs="宋体"/>
                <w:color w:val="000000" w:themeColor="text1"/>
                <w:spacing w:val="-2"/>
                <w:sz w:val="22"/>
                <w:u w:val="none"/>
              </w:rPr>
              <w:t xml:space="preserve">（4））要点未提供完整或内容存在明显错误、内容明显不适用于本项目需求的均不得分。</w:t>
            </w:r>
            <w:r/>
          </w:p>
        </w:tc>
        <w:tc>
          <w:tcPr>
            <w:tcW w:w="647" w:type="dxa"/>
            <w:vAlign w:val="center"/>
            <w:textDirection w:val="lrTb"/>
            <w:noWrap w:val="false"/>
          </w:tcPr>
          <w:p>
            <w:pPr>
              <w:jc w:val="center"/>
              <w:spacing w:before="68" w:line="360" w:lineRule="auto"/>
              <w:rPr>
                <w:rFonts w:cs="宋体"/>
                <w:color w:val="000000" w:themeColor="text1"/>
                <w:sz w:val="22"/>
                <w:u w:val="none"/>
              </w:rPr>
            </w:pPr>
            <w:r>
              <w:rPr>
                <w:rFonts w:hint="eastAsia" w:cs="宋体"/>
                <w:color w:val="000000" w:themeColor="text1"/>
                <w:sz w:val="22"/>
                <w:u w:val="none"/>
              </w:rPr>
              <w:t xml:space="preserve">3</w:t>
            </w:r>
            <w:r/>
          </w:p>
        </w:tc>
        <w:tc>
          <w:tcPr>
            <w:tcW w:w="900" w:type="dxa"/>
            <w:vAlign w:val="center"/>
            <w:textDirection w:val="lrTb"/>
            <w:noWrap w:val="false"/>
          </w:tcPr>
          <w:p>
            <w:pPr>
              <w:jc w:val="center"/>
              <w:spacing w:before="68" w:line="360" w:lineRule="auto"/>
              <w:rPr>
                <w:rFonts w:cs="宋体"/>
                <w:color w:val="000000" w:themeColor="text1"/>
                <w:spacing w:val="-6"/>
                <w:sz w:val="22"/>
                <w:u w:val="none"/>
              </w:rPr>
            </w:pPr>
            <w:r>
              <w:rPr>
                <w:rFonts w:cs="宋体"/>
                <w:color w:val="000000" w:themeColor="text1"/>
                <w:spacing w:val="-6"/>
                <w:sz w:val="22"/>
                <w:u w:val="none"/>
              </w:rPr>
            </w:r>
            <w:r/>
          </w:p>
        </w:tc>
      </w:tr>
      <w:tr>
        <w:trPr>
          <w:jc w:val="center"/>
          <w:trHeight w:val="464"/>
        </w:trPr>
        <w:tc>
          <w:tcPr>
            <w:tcW w:w="519" w:type="dxa"/>
            <w:vAlign w:val="center"/>
            <w:textDirection w:val="lrTb"/>
            <w:noWrap w:val="false"/>
          </w:tcPr>
          <w:p>
            <w:pPr>
              <w:jc w:val="center"/>
              <w:spacing w:line="360" w:lineRule="auto"/>
              <w:rPr>
                <w:color w:val="000000" w:themeColor="text1"/>
                <w:sz w:val="22"/>
                <w:u w:val="none"/>
              </w:rPr>
            </w:pPr>
            <w:r>
              <w:rPr>
                <w:rFonts w:cs="宋体"/>
                <w:color w:val="000000" w:themeColor="text1"/>
                <w:spacing w:val="-3"/>
                <w:sz w:val="22"/>
                <w:u w:val="none"/>
              </w:rPr>
              <w:t xml:space="preserve">合</w:t>
            </w:r>
            <w:r>
              <w:rPr>
                <w:rFonts w:cs="宋体"/>
                <w:color w:val="000000" w:themeColor="text1"/>
                <w:spacing w:val="-2"/>
                <w:sz w:val="22"/>
                <w:u w:val="none"/>
              </w:rPr>
              <w:t xml:space="preserve">计</w:t>
            </w:r>
            <w:r/>
          </w:p>
        </w:tc>
        <w:tc>
          <w:tcPr>
            <w:gridSpan w:val="2"/>
            <w:tcW w:w="7509" w:type="dxa"/>
            <w:vAlign w:val="center"/>
            <w:textDirection w:val="lrTb"/>
            <w:noWrap w:val="false"/>
          </w:tcPr>
          <w:p>
            <w:pPr>
              <w:ind w:left="172"/>
              <w:jc w:val="center"/>
              <w:spacing w:before="123" w:line="360" w:lineRule="auto"/>
              <w:rPr>
                <w:rFonts w:cs="宋体"/>
                <w:color w:val="000000" w:themeColor="text1"/>
                <w:spacing w:val="-2"/>
                <w:sz w:val="22"/>
                <w:u w:val="none"/>
              </w:rPr>
            </w:pPr>
            <w:r>
              <w:rPr>
                <w:rFonts w:cs="宋体"/>
                <w:color w:val="000000" w:themeColor="text1"/>
                <w:spacing w:val="-2"/>
                <w:sz w:val="22"/>
                <w:u w:val="none"/>
              </w:rPr>
            </w:r>
            <w:r/>
          </w:p>
        </w:tc>
        <w:tc>
          <w:tcPr>
            <w:gridSpan w:val="2"/>
            <w:tcW w:w="1547" w:type="dxa"/>
            <w:vAlign w:val="center"/>
            <w:textDirection w:val="lrTb"/>
            <w:noWrap w:val="false"/>
          </w:tcPr>
          <w:p>
            <w:pPr>
              <w:jc w:val="center"/>
              <w:spacing w:line="360" w:lineRule="auto"/>
              <w:rPr>
                <w:color w:val="000000" w:themeColor="text1"/>
                <w:sz w:val="22"/>
                <w:u w:val="none"/>
              </w:rPr>
            </w:pPr>
            <w:r>
              <w:rPr>
                <w:rFonts w:cs="宋体"/>
                <w:color w:val="000000" w:themeColor="text1"/>
                <w:spacing w:val="-11"/>
                <w:sz w:val="22"/>
                <w:u w:val="none"/>
              </w:rPr>
              <w:t xml:space="preserve">100分</w:t>
            </w:r>
            <w:r/>
          </w:p>
        </w:tc>
      </w:tr>
    </w:tbl>
    <w:p>
      <w:pPr>
        <w:rPr>
          <w:color w:val="000000"/>
          <w:u w:val="none"/>
        </w:rPr>
      </w:pPr>
      <w:r>
        <w:rPr>
          <w:color w:val="000000"/>
          <w:u w:val="none"/>
        </w:rPr>
      </w:r>
      <w:r/>
    </w:p>
    <w:p>
      <w:pPr>
        <w:pStyle w:val="1135"/>
        <w:jc w:val="both"/>
        <w:spacing w:line="400" w:lineRule="exact"/>
        <w:rPr>
          <w:rFonts w:ascii="宋体" w:hAnsi="宋体" w:eastAsia="宋体"/>
          <w:color w:val="000000"/>
          <w:u w:val="none"/>
        </w:rPr>
        <w:outlineLvl w:val="2"/>
      </w:pPr>
      <w:r>
        <w:rPr>
          <w:rFonts w:ascii="宋体" w:hAnsi="宋体" w:eastAsia="宋体"/>
          <w:color w:val="000000"/>
          <w:u w:val="none"/>
        </w:rPr>
      </w:r>
      <w:r/>
    </w:p>
    <w:p>
      <w:pPr>
        <w:pStyle w:val="1135"/>
        <w:jc w:val="both"/>
        <w:rPr>
          <w:rFonts w:ascii="宋体" w:hAnsi="宋体" w:eastAsia="宋体"/>
          <w:color w:val="000000"/>
          <w:u w:val="none"/>
        </w:rPr>
        <w:outlineLvl w:val="2"/>
      </w:pPr>
      <w:r>
        <w:rPr>
          <w:rFonts w:ascii="宋体" w:hAnsi="宋体" w:eastAsia="宋体"/>
          <w:color w:val="000000"/>
          <w:u w:val="none"/>
        </w:rPr>
      </w:r>
      <w:r/>
    </w:p>
    <w:p>
      <w:pPr>
        <w:pStyle w:val="1034"/>
        <w:ind w:firstLine="321"/>
        <w:jc w:val="left"/>
        <w:spacing w:line="400" w:lineRule="exact"/>
        <w:rPr>
          <w:rFonts w:ascii="宋体" w:hAnsi="宋体"/>
          <w:color w:val="000000"/>
          <w:sz w:val="24"/>
          <w:u w:val="none"/>
        </w:rPr>
      </w:pPr>
      <w:r>
        <w:rPr>
          <w:rFonts w:hint="eastAsia" w:ascii="宋体" w:hAnsi="宋体" w:eastAsia="宋体"/>
          <w:color w:val="000000"/>
          <w:sz w:val="32"/>
          <w:u w:val="none"/>
        </w:rPr>
        <w:t xml:space="preserve">7．推荐成交供应商</w:t>
      </w:r>
      <w:bookmarkStart w:id="408" w:name="EBf60c0b78baae4cd4941a83c86b937dfd"/>
      <w:r>
        <w:rPr>
          <w:rFonts w:hint="eastAsia" w:ascii="宋体" w:hAnsi="宋体"/>
          <w:color w:val="000000"/>
          <w:sz w:val="24"/>
          <w:u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408"/>
      <w:r/>
      <w:r/>
    </w:p>
    <w:p>
      <w:pPr>
        <w:pStyle w:val="860"/>
        <w:ind w:firstLine="0"/>
        <w:rPr>
          <w:color w:val="000000"/>
          <w:u w:val="none"/>
        </w:rPr>
        <w:sectPr>
          <w:headerReference w:type="default" r:id="rId9"/>
          <w:footerReference w:type="default" r:id="rId13"/>
          <w:footerReference w:type="first" r:id="rId14"/>
          <w:footnotePr/>
          <w:endnotePr/>
          <w:type w:val="nextPage"/>
          <w:pgSz w:w="11906" w:h="16838" w:orient="portrait"/>
          <w:pgMar w:top="1440" w:right="1270" w:bottom="1440" w:left="1270" w:header="851" w:footer="992" w:gutter="0"/>
          <w:cols w:num="1" w:sep="0" w:space="1701" w:equalWidth="1"/>
          <w:docGrid w:linePitch="360"/>
          <w:titlePg/>
        </w:sectPr>
      </w:pPr>
      <w:r>
        <w:rPr>
          <w:color w:val="000000"/>
          <w:u w:val="none"/>
        </w:rPr>
      </w:r>
      <w:r/>
    </w:p>
    <w:p>
      <w:pPr>
        <w:pStyle w:val="1032"/>
        <w:rPr>
          <w:rFonts w:ascii="宋体" w:hAnsi="宋体"/>
          <w:color w:val="000000"/>
          <w:sz w:val="36"/>
          <w:u w:val="none"/>
          <w:lang w:eastAsia="zh-CN"/>
        </w:rPr>
      </w:pPr>
      <w:r>
        <w:rPr>
          <w:rFonts w:hint="eastAsia" w:ascii="宋体" w:hAnsi="宋体"/>
          <w:color w:val="000000"/>
          <w:sz w:val="36"/>
          <w:u w:val="none"/>
          <w:lang w:eastAsia="zh-CN"/>
        </w:rPr>
        <w:t xml:space="preserve">第六部分  磋商响应文件（格式）</w:t>
      </w:r>
      <w:bookmarkEnd w:id="404"/>
      <w:r/>
      <w:bookmarkEnd w:id="405"/>
      <w:r/>
      <w:bookmarkEnd w:id="406"/>
      <w:r/>
      <w:r/>
    </w:p>
    <w:p>
      <w:pPr>
        <w:rPr>
          <w:color w:val="000000"/>
          <w:u w:val="none"/>
        </w:rPr>
      </w:pPr>
      <w:r/>
      <w:bookmarkStart w:id="409" w:name="EB491a073be94b40b3b791bdad326531a2"/>
      <w:r/>
      <w:r/>
    </w:p>
    <w:p>
      <w:pPr>
        <w:pStyle w:val="1099"/>
        <w:rPr>
          <w:color w:val="000000"/>
          <w:u w:val="none"/>
        </w:rPr>
      </w:pPr>
      <w:r>
        <w:rPr>
          <w:rFonts w:ascii="宋体" w:hAnsi="宋体" w:eastAsia="宋体" w:cs="宋体"/>
          <w:color w:val="000000"/>
          <w:u w:val="none"/>
        </w:rPr>
        <w:t xml:space="preserve">﻿</w:t>
      </w:r>
      <w:r/>
    </w:p>
    <w:p>
      <w:pPr>
        <w:pStyle w:val="1099"/>
        <w:jc w:val="center"/>
        <w:spacing w:before="540" w:after="540"/>
        <w:rPr>
          <w:rFonts w:ascii="宋体" w:hAnsi="宋体" w:eastAsia="宋体" w:cs="宋体"/>
          <w:b/>
          <w:bCs/>
          <w:color w:val="000000"/>
          <w:sz w:val="54"/>
          <w:szCs w:val="54"/>
          <w:u w:val="none"/>
        </w:rPr>
      </w:pPr>
      <w:r>
        <w:rPr>
          <w:rFonts w:ascii="宋体" w:hAnsi="宋体" w:eastAsia="宋体" w:cs="宋体"/>
          <w:b/>
          <w:bCs/>
          <w:color w:val="000000"/>
          <w:sz w:val="54"/>
          <w:szCs w:val="54"/>
          <w:u w:val="none"/>
        </w:rPr>
        <w:t xml:space="preserve">磋 商 响 应 文 件</w:t>
      </w:r>
      <w:r/>
    </w:p>
    <w:p>
      <w:pPr>
        <w:pStyle w:val="1099"/>
        <w:spacing w:before="240" w:after="240"/>
        <w:rPr>
          <w:rFonts w:ascii="宋体" w:hAnsi="宋体" w:eastAsia="宋体" w:cs="宋体"/>
          <w:color w:val="000000"/>
          <w:u w:val="none"/>
        </w:rPr>
      </w:pPr>
      <w:r>
        <w:rPr>
          <w:rFonts w:ascii="宋体" w:hAnsi="宋体" w:eastAsia="宋体" w:cs="宋体"/>
          <w:color w:val="000000"/>
          <w:u w:val="none"/>
        </w:rPr>
        <w:t xml:space="preserve"> </w:t>
      </w:r>
      <w:r/>
    </w:p>
    <w:p>
      <w:pPr>
        <w:jc w:val="center"/>
        <w:spacing w:line="360" w:lineRule="auto"/>
        <w:rPr>
          <w:rFonts w:ascii="宋体" w:hAnsi="宋体"/>
          <w:b/>
          <w:color w:val="000000" w:themeColor="text1"/>
          <w:sz w:val="32"/>
          <w:u w:val="none"/>
        </w:rPr>
      </w:pPr>
      <w:r>
        <w:rPr>
          <w:rFonts w:hint="eastAsia" w:ascii="宋体" w:hAnsi="宋体"/>
          <w:b/>
          <w:color w:val="000000" w:themeColor="text1"/>
          <w:sz w:val="32"/>
          <w:u w:val="none"/>
        </w:rPr>
        <w:t xml:space="preserve">项目编号：</w:t>
      </w:r>
      <w:r>
        <w:rPr>
          <w:rFonts w:hint="eastAsia" w:ascii="宋体" w:hAnsi="宋体"/>
          <w:b/>
          <w:color w:val="000000" w:themeColor="text1"/>
          <w:sz w:val="24"/>
          <w:u w:val="none"/>
        </w:rPr>
        <w:t xml:space="preserve">××××</w:t>
      </w:r>
      <w:r/>
    </w:p>
    <w:p>
      <w:pPr>
        <w:ind w:firstLine="560"/>
        <w:jc w:val="center"/>
        <w:spacing w:line="360" w:lineRule="auto"/>
        <w:rPr>
          <w:rFonts w:ascii="宋体" w:hAnsi="宋体"/>
          <w:color w:val="000000" w:themeColor="text1"/>
          <w:sz w:val="28"/>
          <w:u w:val="none"/>
        </w:rPr>
      </w:pPr>
      <w:r>
        <w:rPr>
          <w:rFonts w:ascii="宋体" w:hAnsi="宋体"/>
          <w:color w:val="000000" w:themeColor="text1"/>
          <w:sz w:val="28"/>
          <w:u w:val="none"/>
        </w:rPr>
      </w:r>
      <w:r/>
    </w:p>
    <w:p>
      <w:pPr>
        <w:ind w:firstLine="560"/>
        <w:jc w:val="center"/>
        <w:spacing w:line="360" w:lineRule="auto"/>
        <w:rPr>
          <w:rFonts w:ascii="宋体" w:hAnsi="宋体"/>
          <w:color w:val="000000" w:themeColor="text1"/>
          <w:sz w:val="28"/>
          <w:u w:val="none"/>
        </w:rPr>
      </w:pPr>
      <w:r>
        <w:rPr>
          <w:rFonts w:ascii="宋体" w:hAnsi="宋体"/>
          <w:color w:val="000000" w:themeColor="text1"/>
          <w:sz w:val="28"/>
          <w:u w:val="none"/>
        </w:rPr>
      </w:r>
      <w:r/>
    </w:p>
    <w:p>
      <w:pPr>
        <w:ind w:firstLine="560"/>
        <w:jc w:val="center"/>
        <w:spacing w:line="360" w:lineRule="auto"/>
        <w:rPr>
          <w:rFonts w:ascii="宋体" w:hAnsi="宋体"/>
          <w:color w:val="000000" w:themeColor="text1"/>
          <w:sz w:val="28"/>
          <w:u w:val="none"/>
        </w:rPr>
      </w:pPr>
      <w:r>
        <w:rPr>
          <w:rFonts w:ascii="宋体" w:hAnsi="宋体"/>
          <w:color w:val="000000" w:themeColor="text1"/>
          <w:sz w:val="28"/>
          <w:u w:val="none"/>
        </w:rPr>
      </w:r>
      <w:r/>
    </w:p>
    <w:p>
      <w:pPr>
        <w:ind w:firstLine="562"/>
        <w:jc w:val="center"/>
        <w:spacing w:line="360" w:lineRule="auto"/>
        <w:rPr>
          <w:rFonts w:ascii="宋体" w:hAnsi="宋体"/>
          <w:b/>
          <w:color w:val="000000" w:themeColor="text1"/>
          <w:sz w:val="28"/>
          <w:u w:val="none"/>
        </w:rPr>
      </w:pPr>
      <w:r>
        <w:rPr>
          <w:rFonts w:ascii="宋体" w:hAnsi="宋体"/>
          <w:b/>
          <w:color w:val="000000" w:themeColor="text1"/>
          <w:sz w:val="28"/>
          <w:u w:val="none"/>
        </w:rPr>
      </w:r>
      <w:r/>
    </w:p>
    <w:p>
      <w:pPr>
        <w:jc w:val="center"/>
        <w:spacing w:line="360" w:lineRule="auto"/>
        <w:rPr>
          <w:rFonts w:ascii="宋体" w:hAnsi="宋体"/>
          <w:b/>
          <w:color w:val="000000" w:themeColor="text1"/>
          <w:sz w:val="32"/>
          <w:szCs w:val="32"/>
          <w:u w:val="none"/>
        </w:rPr>
      </w:pPr>
      <w:r>
        <w:rPr>
          <w:rFonts w:hint="eastAsia" w:ascii="宋体" w:hAnsi="宋体"/>
          <w:b/>
          <w:color w:val="000000" w:themeColor="text1"/>
          <w:sz w:val="32"/>
          <w:szCs w:val="32"/>
          <w:u w:val="none"/>
        </w:rPr>
        <w:t xml:space="preserve">项目名称：</w:t>
      </w:r>
      <w:r>
        <w:rPr>
          <w:rFonts w:hint="eastAsia" w:ascii="宋体" w:hAnsi="宋体"/>
          <w:b/>
          <w:color w:val="000000" w:themeColor="text1"/>
          <w:sz w:val="24"/>
          <w:u w:val="none"/>
        </w:rPr>
        <w:t xml:space="preserve">××××</w:t>
      </w:r>
      <w:r/>
    </w:p>
    <w:p>
      <w:pPr>
        <w:pStyle w:val="1156"/>
        <w:ind w:firstLine="643"/>
        <w:spacing w:line="360" w:lineRule="auto"/>
        <w:rPr>
          <w:rFonts w:ascii="宋体" w:hAnsi="宋体" w:eastAsia="宋体"/>
          <w:b/>
          <w:color w:val="000000" w:themeColor="text1"/>
          <w:sz w:val="32"/>
          <w:u w:val="none"/>
        </w:rPr>
      </w:pPr>
      <w:r>
        <w:rPr>
          <w:rFonts w:ascii="宋体" w:hAnsi="宋体" w:eastAsia="宋体"/>
          <w:b/>
          <w:color w:val="000000" w:themeColor="text1"/>
          <w:sz w:val="32"/>
          <w:u w:val="none"/>
        </w:rPr>
      </w:r>
      <w:r/>
    </w:p>
    <w:p>
      <w:pPr>
        <w:pStyle w:val="1156"/>
        <w:ind w:firstLine="643"/>
        <w:spacing w:line="360" w:lineRule="auto"/>
        <w:rPr>
          <w:rFonts w:ascii="宋体" w:hAnsi="宋体" w:eastAsia="宋体"/>
          <w:b/>
          <w:color w:val="000000" w:themeColor="text1"/>
          <w:sz w:val="32"/>
          <w:u w:val="none"/>
        </w:rPr>
      </w:pPr>
      <w:r>
        <w:rPr>
          <w:rFonts w:ascii="宋体" w:hAnsi="宋体" w:eastAsia="宋体"/>
          <w:b/>
          <w:color w:val="000000" w:themeColor="text1"/>
          <w:sz w:val="32"/>
          <w:u w:val="none"/>
        </w:rPr>
      </w:r>
      <w:r/>
    </w:p>
    <w:p>
      <w:pPr>
        <w:jc w:val="center"/>
        <w:spacing w:line="360" w:lineRule="auto"/>
        <w:rPr>
          <w:rFonts w:ascii="宋体" w:hAnsi="宋体"/>
          <w:b/>
          <w:color w:val="000000" w:themeColor="text1"/>
          <w:sz w:val="32"/>
          <w:u w:val="none"/>
        </w:rPr>
      </w:pPr>
      <w:r>
        <w:rPr>
          <w:rFonts w:hint="eastAsia" w:ascii="宋体" w:hAnsi="宋体"/>
          <w:b/>
          <w:color w:val="000000" w:themeColor="text1"/>
          <w:sz w:val="32"/>
          <w:u w:val="none"/>
        </w:rPr>
        <w:t xml:space="preserve">投 标 人（公章）：</w:t>
      </w:r>
      <w:r>
        <w:rPr>
          <w:rFonts w:hint="eastAsia" w:ascii="宋体" w:hAnsi="宋体"/>
          <w:b/>
          <w:color w:val="000000" w:themeColor="text1"/>
          <w:sz w:val="24"/>
          <w:u w:val="none"/>
        </w:rPr>
        <w:t xml:space="preserve">××××</w:t>
      </w:r>
      <w:r/>
    </w:p>
    <w:p>
      <w:pPr>
        <w:ind w:firstLine="723"/>
        <w:jc w:val="center"/>
        <w:spacing w:line="360" w:lineRule="auto"/>
        <w:rPr>
          <w:rFonts w:ascii="宋体" w:hAnsi="宋体"/>
          <w:b/>
          <w:color w:val="000000" w:themeColor="text1"/>
          <w:sz w:val="36"/>
          <w:u w:val="none"/>
        </w:rPr>
      </w:pPr>
      <w:r>
        <w:rPr>
          <w:rFonts w:ascii="宋体" w:hAnsi="宋体"/>
          <w:b/>
          <w:color w:val="000000" w:themeColor="text1"/>
          <w:sz w:val="36"/>
          <w:u w:val="none"/>
        </w:rPr>
      </w:r>
      <w:r/>
    </w:p>
    <w:p>
      <w:pPr>
        <w:ind w:firstLine="723"/>
        <w:jc w:val="center"/>
        <w:spacing w:line="360" w:lineRule="auto"/>
        <w:rPr>
          <w:rFonts w:ascii="宋体" w:hAnsi="宋体"/>
          <w:b/>
          <w:color w:val="000000" w:themeColor="text1"/>
          <w:sz w:val="36"/>
          <w:u w:val="none"/>
        </w:rPr>
      </w:pPr>
      <w:r>
        <w:rPr>
          <w:rFonts w:ascii="宋体" w:hAnsi="宋体"/>
          <w:b/>
          <w:color w:val="000000" w:themeColor="text1"/>
          <w:sz w:val="36"/>
          <w:u w:val="none"/>
        </w:rPr>
      </w:r>
      <w:r/>
    </w:p>
    <w:p>
      <w:pPr>
        <w:ind w:firstLine="723"/>
        <w:jc w:val="center"/>
        <w:spacing w:line="360" w:lineRule="auto"/>
        <w:rPr>
          <w:rFonts w:ascii="宋体" w:hAnsi="宋体"/>
          <w:b/>
          <w:color w:val="000000" w:themeColor="text1"/>
          <w:sz w:val="36"/>
          <w:u w:val="none"/>
        </w:rPr>
      </w:pPr>
      <w:r>
        <w:rPr>
          <w:rFonts w:ascii="宋体" w:hAnsi="宋体"/>
          <w:b/>
          <w:color w:val="000000" w:themeColor="text1"/>
          <w:sz w:val="36"/>
          <w:u w:val="none"/>
        </w:rPr>
      </w:r>
      <w:r/>
    </w:p>
    <w:p>
      <w:pPr>
        <w:jc w:val="center"/>
        <w:spacing w:line="360" w:lineRule="auto"/>
        <w:rPr>
          <w:rFonts w:ascii="宋体" w:hAnsi="宋体"/>
          <w:b/>
          <w:color w:val="000000" w:themeColor="text1"/>
          <w:sz w:val="32"/>
          <w:u w:val="none"/>
        </w:rPr>
      </w:pPr>
      <w:r>
        <w:rPr>
          <w:rFonts w:hint="eastAsia" w:ascii="宋体" w:hAnsi="宋体"/>
          <w:b/>
          <w:color w:val="000000" w:themeColor="text1"/>
          <w:sz w:val="24"/>
          <w:u w:val="none"/>
        </w:rPr>
        <w:t xml:space="preserve">××××</w:t>
      </w:r>
      <w:r>
        <w:rPr>
          <w:rFonts w:hint="eastAsia" w:ascii="宋体" w:hAnsi="宋体"/>
          <w:b/>
          <w:color w:val="000000" w:themeColor="text1"/>
          <w:sz w:val="32"/>
          <w:u w:val="none"/>
        </w:rPr>
        <w:t xml:space="preserve">年</w:t>
      </w:r>
      <w:r>
        <w:rPr>
          <w:rFonts w:hint="eastAsia" w:ascii="宋体" w:hAnsi="宋体"/>
          <w:b/>
          <w:color w:val="000000" w:themeColor="text1"/>
          <w:sz w:val="24"/>
          <w:u w:val="none"/>
        </w:rPr>
        <w:t xml:space="preserve">××</w:t>
      </w:r>
      <w:r>
        <w:rPr>
          <w:rFonts w:hint="eastAsia" w:ascii="宋体" w:hAnsi="宋体"/>
          <w:b/>
          <w:color w:val="000000" w:themeColor="text1"/>
          <w:sz w:val="32"/>
          <w:u w:val="none"/>
        </w:rPr>
        <w:t xml:space="preserve">月</w:t>
      </w:r>
      <w:r>
        <w:rPr>
          <w:rFonts w:hint="eastAsia" w:ascii="宋体" w:hAnsi="宋体"/>
          <w:b/>
          <w:color w:val="000000" w:themeColor="text1"/>
          <w:sz w:val="24"/>
          <w:u w:val="none"/>
        </w:rPr>
        <w:t xml:space="preserve">××</w:t>
      </w:r>
      <w:r>
        <w:rPr>
          <w:rFonts w:hint="eastAsia" w:ascii="宋体" w:hAnsi="宋体"/>
          <w:b/>
          <w:color w:val="000000" w:themeColor="text1"/>
          <w:sz w:val="32"/>
          <w:u w:val="none"/>
        </w:rPr>
        <w:t xml:space="preserve">日</w:t>
      </w:r>
      <w:r/>
    </w:p>
    <w:p>
      <w:pPr>
        <w:pStyle w:val="1100"/>
        <w:jc w:val="center"/>
        <w:rPr>
          <w:color w:val="000000"/>
          <w:u w:val="none"/>
        </w:rPr>
        <w:outlineLvl w:val="1"/>
      </w:pPr>
      <w:r>
        <w:rPr>
          <w:color w:val="000000"/>
          <w:u w:val="none"/>
        </w:rPr>
        <w:br w:type="page" w:clear="all"/>
      </w:r>
      <w:bookmarkStart w:id="410" w:name="_Toc256000067"/>
      <w:r>
        <w:rPr>
          <w:rFonts w:ascii="宋体" w:hAnsi="宋体" w:eastAsia="宋体" w:cs="宋体"/>
          <w:color w:val="000000"/>
          <w:sz w:val="32"/>
          <w:u w:val="none"/>
        </w:rPr>
        <w:t xml:space="preserve">一、资格部分</w:t>
      </w:r>
      <w:bookmarkEnd w:id="410"/>
      <w:r/>
      <w:r/>
    </w:p>
    <w:p>
      <w:pPr>
        <w:pStyle w:val="1101"/>
        <w:jc w:val="center"/>
        <w:rPr>
          <w:color w:val="000000"/>
          <w:u w:val="none"/>
        </w:rPr>
        <w:outlineLvl w:val="2"/>
      </w:pPr>
      <w:r/>
      <w:bookmarkStart w:id="411" w:name="_Toc256000068"/>
      <w:r>
        <w:rPr>
          <w:rFonts w:ascii="宋体" w:hAnsi="宋体" w:eastAsia="宋体" w:cs="宋体"/>
          <w:color w:val="000000"/>
          <w:sz w:val="28"/>
          <w:u w:val="none"/>
        </w:rPr>
        <w:t xml:space="preserve">(一)磋商承诺函</w:t>
      </w:r>
      <w:bookmarkEnd w:id="411"/>
      <w:r/>
      <w:r/>
    </w:p>
    <w:p>
      <w:pPr>
        <w:pStyle w:val="1102"/>
        <w:rPr>
          <w:color w:val="000000"/>
          <w:u w:val="none"/>
        </w:rPr>
      </w:pPr>
      <w:r>
        <w:rPr>
          <w:rFonts w:ascii="宋体" w:hAnsi="宋体" w:eastAsia="宋体" w:cs="宋体"/>
          <w:color w:val="000000"/>
          <w:u w:val="none"/>
        </w:rPr>
        <w:t xml:space="preserve">﻿ </w:t>
      </w:r>
      <w:r/>
    </w:p>
    <w:p>
      <w:pPr>
        <w:spacing w:line="360" w:lineRule="auto"/>
        <w:rPr>
          <w:rFonts w:ascii="宋体" w:hAnsi="宋体"/>
          <w:b/>
          <w:bCs/>
          <w:color w:val="000000" w:themeColor="text1"/>
          <w:sz w:val="30"/>
          <w:u w:val="none"/>
        </w:rPr>
      </w:pPr>
      <w:r>
        <w:rPr>
          <w:rFonts w:hint="eastAsia" w:ascii="宋体" w:hAnsi="宋体"/>
          <w:b/>
          <w:color w:val="000000" w:themeColor="text1"/>
          <w:sz w:val="24"/>
          <w:u w:val="none"/>
        </w:rPr>
        <w:t xml:space="preserve">致×××</w:t>
      </w:r>
      <w:r>
        <w:rPr>
          <w:rFonts w:hint="eastAsia" w:ascii="宋体" w:hAnsi="宋体"/>
          <w:b/>
          <w:color w:val="000000" w:themeColor="text1"/>
          <w:sz w:val="24"/>
          <w:szCs w:val="16"/>
          <w:u w:val="none"/>
        </w:rPr>
        <w:t xml:space="preserve">×（采购代理机构）</w:t>
      </w:r>
      <w:r>
        <w:rPr>
          <w:rFonts w:hint="eastAsia" w:ascii="宋体" w:hAnsi="宋体"/>
          <w:b/>
          <w:bCs/>
          <w:color w:val="000000" w:themeColor="text1"/>
          <w:sz w:val="30"/>
          <w:u w:val="none"/>
        </w:rPr>
        <w:t xml:space="preserve">：</w:t>
      </w:r>
      <w:r/>
    </w:p>
    <w:p>
      <w:pPr>
        <w:pStyle w:val="1102"/>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根据贵方关于</w:t>
      </w:r>
      <w:r>
        <w:rPr>
          <w:rFonts w:hint="eastAsia" w:ascii="宋体" w:hAnsi="宋体" w:eastAsia="宋体" w:cs="Times New Roman"/>
          <w:b/>
          <w:color w:val="000000" w:themeColor="text1"/>
          <w:sz w:val="24"/>
          <w:szCs w:val="16"/>
          <w:u w:val="none"/>
        </w:rPr>
        <w:t xml:space="preserve">××××（项目名称）（项目编号：××××）</w:t>
      </w:r>
      <w:r>
        <w:rPr>
          <w:rFonts w:ascii="宋体" w:hAnsi="宋体" w:eastAsia="宋体" w:cs="宋体"/>
          <w:color w:val="000000"/>
          <w:u w:val="none"/>
        </w:rPr>
        <w:t xml:space="preserve">的磋商邀请，我方已完全理解磋商文件的所有内容。 </w:t>
      </w:r>
      <w:r/>
    </w:p>
    <w:p>
      <w:pPr>
        <w:pStyle w:val="1102"/>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据此函，我方兹宣布同意如下： </w:t>
      </w:r>
      <w:r/>
    </w:p>
    <w:p>
      <w:pPr>
        <w:pStyle w:val="1102"/>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1.我方承诺：我方完全具备《政府采购法》第二十二条第一款规定的条件以及本项目磋商文件规定的参加磋商供应商须满足的特定条件。 </w:t>
      </w:r>
      <w:r/>
    </w:p>
    <w:p>
      <w:pPr>
        <w:pStyle w:val="1102"/>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2.我方承诺：参加本次采购活动前三年内，在经营活动中没有重大违法记录。 </w:t>
      </w:r>
      <w:r/>
    </w:p>
    <w:p>
      <w:pPr>
        <w:pStyle w:val="1102"/>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3.我方承诺：我方信用记录中没有被列入失信被执行人、没有被列入重大税收违法案件名单、没有被列入政府采购违法失信行为记录名单。 </w:t>
      </w:r>
      <w:r/>
    </w:p>
    <w:p>
      <w:pPr>
        <w:pStyle w:val="1102"/>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4.我方承诺按磋商文件要求提供的</w:t>
      </w:r>
      <w:r>
        <w:rPr>
          <w:rFonts w:hint="eastAsia" w:ascii="宋体" w:hAnsi="宋体" w:eastAsia="宋体" w:cs="宋体"/>
          <w:color w:val="000000"/>
          <w:u w:val="none"/>
        </w:rPr>
        <w:t xml:space="preserve">工程</w:t>
      </w:r>
      <w:r>
        <w:rPr>
          <w:rFonts w:ascii="宋体" w:hAnsi="宋体" w:eastAsia="宋体" w:cs="宋体"/>
          <w:color w:val="000000"/>
          <w:u w:val="none"/>
        </w:rPr>
        <w:t xml:space="preserve">磋商报价见报价一览表。 </w:t>
      </w:r>
      <w:r/>
    </w:p>
    <w:p>
      <w:pPr>
        <w:pStyle w:val="1102"/>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5．我方承诺根据磋商文件的规定，完成合同义务，并承担责任（如有偏离，在响应文件中另作说明）。 </w:t>
      </w:r>
      <w:r/>
    </w:p>
    <w:p>
      <w:pPr>
        <w:pStyle w:val="1102"/>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6．我方已详读全部磋商文件，包括磋商文件书面修改通知（如有），我方完全理解并同意放弃对这方面不明及误解的权利。</w:t>
      </w:r>
      <w:r/>
    </w:p>
    <w:p>
      <w:pPr>
        <w:pStyle w:val="1102"/>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7．我方承诺响应文件及所有材料的完整、真实、合法、有效，并对其负责。承诺在磋商期间，如磋商小组对我方提出澄清要求，将及时作出响应，否则自行承担后果。</w:t>
      </w:r>
      <w:r/>
    </w:p>
    <w:p>
      <w:pPr>
        <w:pStyle w:val="1102"/>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8．我方同意从规定的磋商日期起遵循本磋商文件，并在规定的磋商有效期期满之前均具有约束力。</w:t>
      </w:r>
      <w:r/>
    </w:p>
    <w:p>
      <w:pPr>
        <w:pStyle w:val="1102"/>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9．我方同意向贵方提供贵方可能要求的与本磋商有关的任何证据或资料。</w:t>
      </w:r>
      <w:r/>
    </w:p>
    <w:p>
      <w:pPr>
        <w:pStyle w:val="1102"/>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10.我方知道如用虚假材料或恶意方式向贵方提出质疑，将承担相应的法律责任。同时承诺：我方如果有上述行为，将无条件承担贵方相关的调查论证费用。</w:t>
      </w:r>
      <w:r/>
    </w:p>
    <w:p>
      <w:pPr>
        <w:pStyle w:val="1102"/>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11．本次响应文件内容与磋商文件内容偏离见磋商偏离表（如果有）。</w:t>
      </w:r>
      <w:r/>
    </w:p>
    <w:p>
      <w:pPr>
        <w:pStyle w:val="1102"/>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12．遵守磋商文件中要求的收费项目和标准。</w:t>
      </w:r>
      <w:r/>
    </w:p>
    <w:p>
      <w:pPr>
        <w:pStyle w:val="1102"/>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13．我方将严格遵守《中华人民共和国政府采购法》，若存在违法违规行为，自愿承担相应的法律后果。</w:t>
      </w:r>
      <w:r/>
    </w:p>
    <w:p>
      <w:pPr>
        <w:pStyle w:val="1102"/>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14．与本磋商有关的一切正式往来通讯请寄：</w:t>
      </w:r>
      <w:r/>
    </w:p>
    <w:p>
      <w:pPr>
        <w:pStyle w:val="1102"/>
        <w:ind w:firstLine="96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地址：    </w:t>
      </w:r>
      <w:r>
        <w:rPr>
          <w:rFonts w:hint="eastAsia" w:ascii="宋体" w:hAnsi="宋体" w:eastAsia="宋体" w:cs="宋体"/>
          <w:color w:val="000000"/>
          <w:u w:val="none"/>
        </w:rPr>
        <w:t xml:space="preserve">         </w:t>
      </w:r>
      <w:r>
        <w:rPr>
          <w:rFonts w:ascii="宋体" w:hAnsi="宋体" w:eastAsia="宋体" w:cs="宋体"/>
          <w:color w:val="000000"/>
          <w:u w:val="none"/>
        </w:rPr>
        <w:t xml:space="preserve">电话：   </w:t>
      </w:r>
      <w:r/>
    </w:p>
    <w:p>
      <w:pPr>
        <w:pStyle w:val="1102"/>
        <w:ind w:firstLine="96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传真： </w:t>
      </w:r>
      <w:r>
        <w:rPr>
          <w:rFonts w:hint="eastAsia" w:ascii="宋体" w:hAnsi="宋体" w:eastAsia="宋体" w:cs="宋体"/>
          <w:color w:val="000000"/>
          <w:u w:val="none"/>
        </w:rPr>
        <w:t xml:space="preserve">         </w:t>
      </w:r>
      <w:r>
        <w:rPr>
          <w:rFonts w:ascii="宋体" w:hAnsi="宋体" w:eastAsia="宋体" w:cs="宋体"/>
          <w:color w:val="000000"/>
          <w:u w:val="none"/>
        </w:rPr>
        <w:t xml:space="preserve">   邮政编码：    </w:t>
      </w:r>
      <w:r/>
    </w:p>
    <w:p>
      <w:pPr>
        <w:pStyle w:val="1102"/>
        <w:ind w:firstLine="96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供应商（公章）：   </w:t>
      </w:r>
      <w:r/>
    </w:p>
    <w:p>
      <w:pPr>
        <w:pStyle w:val="1102"/>
        <w:ind w:firstLine="96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法定代表人签章：   </w:t>
      </w:r>
      <w:r/>
    </w:p>
    <w:p>
      <w:pPr>
        <w:pStyle w:val="1102"/>
        <w:ind w:firstLine="96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日 期：   </w:t>
      </w:r>
      <w:r/>
    </w:p>
    <w:p>
      <w:pPr>
        <w:pStyle w:val="1103"/>
        <w:jc w:val="center"/>
        <w:rPr>
          <w:color w:val="000000"/>
          <w:u w:val="none"/>
        </w:rPr>
        <w:outlineLvl w:val="2"/>
      </w:pPr>
      <w:r>
        <w:rPr>
          <w:color w:val="000000"/>
          <w:u w:val="none"/>
        </w:rPr>
        <w:br w:type="page" w:clear="all"/>
      </w:r>
      <w:bookmarkStart w:id="412" w:name="_Toc256000069"/>
      <w:r>
        <w:rPr>
          <w:rFonts w:ascii="宋体" w:hAnsi="宋体" w:eastAsia="宋体" w:cs="宋体"/>
          <w:color w:val="000000"/>
          <w:sz w:val="28"/>
          <w:u w:val="none"/>
        </w:rPr>
        <w:t xml:space="preserve">(二)独立承担民事责任的能力</w:t>
      </w:r>
      <w:bookmarkEnd w:id="412"/>
      <w:r/>
      <w:r/>
    </w:p>
    <w:p>
      <w:pPr>
        <w:pStyle w:val="1104"/>
        <w:jc w:val="center"/>
        <w:rPr>
          <w:rFonts w:ascii="宋体" w:hAnsi="宋体" w:eastAsia="宋体" w:cs="宋体"/>
          <w:color w:val="000000"/>
          <w:sz w:val="28"/>
          <w:u w:val="none"/>
        </w:rPr>
        <w:outlineLvl w:val="2"/>
      </w:pPr>
      <w:r/>
      <w:bookmarkStart w:id="413" w:name="_Toc256000070"/>
      <w:r/>
      <w:r/>
    </w:p>
    <w:p>
      <w:pPr>
        <w:pStyle w:val="1104"/>
        <w:jc w:val="both"/>
        <w:rPr>
          <w:rFonts w:ascii="宋体" w:hAnsi="宋体" w:eastAsia="宋体" w:cs="宋体"/>
          <w:color w:val="000000"/>
          <w:sz w:val="28"/>
          <w:u w:val="none"/>
        </w:rPr>
        <w:outlineLvl w:val="2"/>
      </w:pPr>
      <w:r>
        <w:rPr>
          <w:rFonts w:ascii="宋体" w:hAnsi="宋体" w:eastAsia="宋体" w:cs="宋体"/>
          <w:color w:val="000000"/>
          <w:sz w:val="28"/>
          <w:u w:val="none"/>
        </w:rPr>
      </w:r>
      <w:r/>
    </w:p>
    <w:p>
      <w:pPr>
        <w:pStyle w:val="1104"/>
        <w:jc w:val="center"/>
        <w:rPr>
          <w:rFonts w:ascii="宋体" w:hAnsi="宋体" w:eastAsia="宋体" w:cs="宋体"/>
          <w:color w:val="000000"/>
          <w:sz w:val="28"/>
          <w:u w:val="none"/>
        </w:rPr>
        <w:outlineLvl w:val="2"/>
      </w:pPr>
      <w:r>
        <w:rPr>
          <w:rFonts w:ascii="宋体" w:hAnsi="宋体" w:eastAsia="宋体" w:cs="宋体"/>
          <w:color w:val="000000"/>
          <w:sz w:val="28"/>
          <w:u w:val="none"/>
        </w:rPr>
      </w:r>
      <w:r/>
    </w:p>
    <w:p>
      <w:pPr>
        <w:rPr>
          <w:rFonts w:ascii="宋体" w:hAnsi="宋体" w:eastAsia="宋体" w:cs="宋体"/>
          <w:color w:val="000000"/>
          <w:sz w:val="28"/>
          <w:u w:val="none"/>
        </w:rPr>
      </w:pPr>
      <w:r>
        <w:rPr>
          <w:rFonts w:ascii="宋体" w:hAnsi="宋体" w:eastAsia="宋体" w:cs="宋体"/>
          <w:color w:val="000000"/>
          <w:sz w:val="28"/>
          <w:u w:val="none"/>
        </w:rPr>
        <w:br w:type="page" w:clear="all"/>
      </w:r>
      <w:r/>
    </w:p>
    <w:p>
      <w:pPr>
        <w:pStyle w:val="1104"/>
        <w:jc w:val="center"/>
        <w:rPr>
          <w:color w:val="000000"/>
          <w:u w:val="none"/>
        </w:rPr>
        <w:outlineLvl w:val="2"/>
      </w:pPr>
      <w:r>
        <w:rPr>
          <w:rFonts w:ascii="宋体" w:hAnsi="宋体" w:eastAsia="宋体" w:cs="宋体"/>
          <w:color w:val="000000"/>
          <w:sz w:val="28"/>
          <w:u w:val="none"/>
        </w:rPr>
        <w:t xml:space="preserve">(三)良好的商业信誉和健全的财务会计制度</w:t>
      </w:r>
      <w:bookmarkEnd w:id="413"/>
      <w:r/>
      <w:r/>
    </w:p>
    <w:p>
      <w:pPr>
        <w:ind w:firstLine="560"/>
        <w:spacing w:line="360" w:lineRule="auto"/>
        <w:rPr>
          <w:rFonts w:ascii="宋体" w:hAnsi="宋体"/>
          <w:color w:val="000000" w:themeColor="text1"/>
          <w:sz w:val="28"/>
          <w:szCs w:val="28"/>
          <w:u w:val="none"/>
        </w:rPr>
      </w:pPr>
      <w:r/>
      <w:bookmarkStart w:id="414" w:name="_Toc256000071"/>
      <w:r>
        <w:rPr>
          <w:rFonts w:hint="eastAsia" w:ascii="宋体" w:hAnsi="宋体"/>
          <w:color w:val="000000" w:themeColor="text1"/>
          <w:sz w:val="28"/>
          <w:szCs w:val="28"/>
          <w:u w:val="none"/>
        </w:rPr>
        <w:t xml:space="preserve">提供202</w:t>
      </w:r>
      <w:r>
        <w:rPr>
          <w:rFonts w:hint="eastAsia" w:ascii="宋体" w:hAnsi="宋体"/>
          <w:color w:val="000000" w:themeColor="text1"/>
          <w:sz w:val="28"/>
          <w:szCs w:val="28"/>
          <w:u w:val="none"/>
          <w:lang w:val="en-US" w:eastAsia="zh-CN"/>
        </w:rPr>
        <w:t xml:space="preserve">4</w:t>
      </w:r>
      <w:r>
        <w:rPr>
          <w:rFonts w:hint="eastAsia" w:ascii="宋体" w:hAnsi="宋体"/>
          <w:color w:val="000000" w:themeColor="text1"/>
          <w:sz w:val="28"/>
          <w:szCs w:val="28"/>
          <w:u w:val="none"/>
        </w:rPr>
        <w:t xml:space="preserve">或202</w:t>
      </w:r>
      <w:r>
        <w:rPr>
          <w:rFonts w:hint="eastAsia" w:ascii="宋体" w:hAnsi="宋体"/>
          <w:color w:val="000000" w:themeColor="text1"/>
          <w:sz w:val="28"/>
          <w:szCs w:val="28"/>
          <w:u w:val="none"/>
          <w:lang w:val="en-US" w:eastAsia="zh-CN"/>
        </w:rPr>
        <w:t xml:space="preserve">5</w:t>
      </w:r>
      <w:r>
        <w:rPr>
          <w:rFonts w:hint="eastAsia" w:ascii="宋体" w:hAnsi="宋体"/>
          <w:color w:val="000000" w:themeColor="text1"/>
          <w:sz w:val="28"/>
          <w:szCs w:val="28"/>
          <w:u w:val="none"/>
        </w:rPr>
        <w:t xml:space="preserve">年度财务报告、成立不满一年的提供至少一个月财务报告，或银行出具的资信证明，或财政部门认可的政府采购专业担保机构出具的投标担保函等，或提供</w:t>
      </w:r>
      <w:bookmarkStart w:id="415" w:name="_Hlk131494070"/>
      <w:r>
        <w:rPr>
          <w:rFonts w:hint="eastAsia" w:ascii="宋体" w:hAnsi="宋体"/>
          <w:color w:val="000000" w:themeColor="text1"/>
          <w:sz w:val="28"/>
          <w:szCs w:val="28"/>
          <w:u w:val="none"/>
        </w:rPr>
        <w:t xml:space="preserve">资格承诺函</w:t>
      </w:r>
      <w:bookmarkEnd w:id="415"/>
      <w:r/>
      <w:bookmarkStart w:id="416" w:name="_Hlk131494108"/>
      <w:r>
        <w:rPr>
          <w:rFonts w:hint="eastAsia" w:ascii="宋体" w:hAnsi="宋体"/>
          <w:color w:val="000000" w:themeColor="text1"/>
          <w:sz w:val="28"/>
          <w:szCs w:val="28"/>
          <w:u w:val="none"/>
        </w:rPr>
        <w:t xml:space="preserve">）</w:t>
      </w:r>
      <w:bookmarkEnd w:id="416"/>
      <w:r>
        <w:rPr>
          <w:rFonts w:hint="eastAsia" w:ascii="宋体" w:hAnsi="宋体"/>
          <w:color w:val="000000" w:themeColor="text1"/>
          <w:sz w:val="28"/>
          <w:szCs w:val="28"/>
          <w:u w:val="none"/>
        </w:rPr>
        <w:t xml:space="preserve">。</w:t>
      </w:r>
      <w:r/>
    </w:p>
    <w:p>
      <w:pPr>
        <w:rPr>
          <w:rFonts w:ascii="宋体" w:hAnsi="宋体"/>
          <w:color w:val="000000" w:themeColor="text1"/>
          <w:sz w:val="32"/>
          <w:u w:val="none"/>
        </w:rPr>
      </w:pPr>
      <w:r>
        <w:rPr>
          <w:rFonts w:hint="eastAsia" w:ascii="宋体" w:hAnsi="宋体"/>
          <w:color w:val="000000" w:themeColor="text1"/>
          <w:sz w:val="32"/>
          <w:u w:val="none"/>
        </w:rPr>
        <w:br w:type="page" w:clear="all"/>
      </w:r>
      <w:r/>
    </w:p>
    <w:p>
      <w:pPr>
        <w:jc w:val="center"/>
        <w:rPr>
          <w:color w:val="000000"/>
          <w:u w:val="none"/>
        </w:rPr>
      </w:pPr>
      <w:r>
        <w:rPr>
          <w:rFonts w:ascii="宋体" w:hAnsi="宋体" w:eastAsia="宋体" w:cs="宋体"/>
          <w:color w:val="000000"/>
          <w:sz w:val="28"/>
          <w:u w:val="none"/>
        </w:rPr>
        <w:t xml:space="preserve">(四)履行合同所必需的设备和专业技术能力</w:t>
      </w:r>
      <w:bookmarkEnd w:id="414"/>
      <w:r/>
      <w:r/>
    </w:p>
    <w:p>
      <w:pPr>
        <w:pStyle w:val="1106"/>
        <w:jc w:val="center"/>
        <w:spacing w:line="360" w:lineRule="auto"/>
        <w:rPr>
          <w:rFonts w:ascii="宋体" w:hAnsi="宋体" w:cs="宋体"/>
          <w:color w:val="000000"/>
          <w:sz w:val="24"/>
          <w:szCs w:val="24"/>
          <w:u w:val="none"/>
        </w:rPr>
      </w:pPr>
      <w:r>
        <w:rPr>
          <w:rFonts w:ascii="宋体" w:hAnsi="宋体" w:cs="宋体"/>
          <w:color w:val="000000"/>
          <w:sz w:val="24"/>
          <w:szCs w:val="24"/>
          <w:u w:val="none"/>
        </w:rPr>
      </w:r>
      <w:r/>
    </w:p>
    <w:p>
      <w:pPr>
        <w:pStyle w:val="1106"/>
        <w:jc w:val="center"/>
        <w:spacing w:line="360" w:lineRule="auto"/>
        <w:rPr>
          <w:rFonts w:ascii="宋体" w:hAnsi="宋体" w:cs="宋体"/>
          <w:color w:val="000000"/>
          <w:sz w:val="24"/>
          <w:szCs w:val="24"/>
          <w:u w:val="none"/>
        </w:rPr>
      </w:pPr>
      <w:r>
        <w:rPr>
          <w:rFonts w:ascii="宋体" w:hAnsi="宋体" w:cs="宋体"/>
          <w:color w:val="000000"/>
          <w:sz w:val="24"/>
          <w:szCs w:val="24"/>
          <w:u w:val="none"/>
        </w:rPr>
      </w:r>
      <w:r/>
    </w:p>
    <w:p>
      <w:pPr>
        <w:pStyle w:val="1106"/>
        <w:jc w:val="center"/>
        <w:spacing w:line="360" w:lineRule="auto"/>
        <w:rPr>
          <w:rFonts w:ascii="宋体" w:hAnsi="宋体" w:cs="宋体"/>
          <w:color w:val="000000"/>
          <w:sz w:val="24"/>
          <w:szCs w:val="24"/>
          <w:u w:val="none"/>
        </w:rPr>
      </w:pPr>
      <w:r>
        <w:rPr>
          <w:rFonts w:ascii="宋体" w:hAnsi="宋体" w:cs="宋体"/>
          <w:color w:val="000000"/>
          <w:sz w:val="24"/>
          <w:szCs w:val="24"/>
          <w:u w:val="none"/>
        </w:rPr>
        <w:t xml:space="preserve">具备履行合同所必需的设备和专业技术能力的书面声明</w:t>
      </w:r>
      <w:r/>
    </w:p>
    <w:p>
      <w:pPr>
        <w:pStyle w:val="1106"/>
        <w:ind w:firstLine="480"/>
        <w:spacing w:line="360" w:lineRule="auto"/>
        <w:rPr>
          <w:rFonts w:ascii="宋体" w:hAnsi="宋体" w:cs="宋体"/>
          <w:color w:val="000000"/>
          <w:sz w:val="24"/>
          <w:szCs w:val="24"/>
          <w:u w:val="none"/>
        </w:rPr>
      </w:pPr>
      <w:r>
        <w:rPr>
          <w:rFonts w:ascii="宋体" w:hAnsi="宋体" w:cs="宋体"/>
          <w:color w:val="000000"/>
          <w:sz w:val="24"/>
          <w:szCs w:val="24"/>
          <w:u w:val="none"/>
        </w:rPr>
      </w:r>
      <w:r/>
    </w:p>
    <w:p>
      <w:pPr>
        <w:pStyle w:val="1106"/>
        <w:ind w:firstLine="480"/>
        <w:spacing w:line="360" w:lineRule="auto"/>
        <w:rPr>
          <w:rFonts w:ascii="宋体" w:hAnsi="宋体" w:cs="宋体"/>
          <w:color w:val="000000"/>
          <w:sz w:val="24"/>
          <w:szCs w:val="24"/>
          <w:u w:val="none"/>
        </w:rPr>
      </w:pPr>
      <w:r>
        <w:rPr>
          <w:rFonts w:ascii="宋体" w:hAnsi="宋体" w:cs="宋体"/>
          <w:color w:val="000000"/>
          <w:sz w:val="24"/>
          <w:szCs w:val="24"/>
          <w:u w:val="none"/>
        </w:rPr>
        <w:t xml:space="preserve">我单位郑重声明：我单位具备履行本项采购合同所必需的设备和专业技术能力，为履行本项采购合同我公司具备如下主要设备和主要专业技术能力： </w:t>
      </w:r>
      <w:r/>
    </w:p>
    <w:p>
      <w:pPr>
        <w:pStyle w:val="1106"/>
        <w:ind w:firstLine="480"/>
        <w:spacing w:line="360" w:lineRule="auto"/>
        <w:rPr>
          <w:rFonts w:ascii="宋体" w:hAnsi="宋体" w:cs="宋体"/>
          <w:color w:val="000000"/>
          <w:sz w:val="24"/>
          <w:szCs w:val="24"/>
          <w:u w:val="none"/>
        </w:rPr>
      </w:pPr>
      <w:r>
        <w:rPr>
          <w:rFonts w:ascii="宋体" w:hAnsi="宋体" w:cs="宋体"/>
          <w:color w:val="000000"/>
          <w:sz w:val="24"/>
          <w:szCs w:val="24"/>
          <w:u w:val="none"/>
        </w:rPr>
        <w:t xml:space="preserve">主要设备有： </w:t>
      </w:r>
      <w:r/>
    </w:p>
    <w:p>
      <w:pPr>
        <w:pStyle w:val="1106"/>
        <w:ind w:firstLine="480"/>
        <w:spacing w:line="360" w:lineRule="auto"/>
        <w:rPr>
          <w:rFonts w:ascii="宋体" w:hAnsi="宋体" w:cs="宋体"/>
          <w:color w:val="000000"/>
          <w:sz w:val="24"/>
          <w:szCs w:val="24"/>
          <w:u w:val="none"/>
        </w:rPr>
      </w:pPr>
      <w:r>
        <w:rPr>
          <w:rFonts w:ascii="宋体" w:hAnsi="宋体" w:cs="宋体"/>
          <w:color w:val="000000"/>
          <w:sz w:val="24"/>
          <w:szCs w:val="24"/>
          <w:u w:val="none"/>
        </w:rPr>
        <w:t xml:space="preserve">主要专业技术能力有：</w:t>
      </w:r>
      <w:r/>
    </w:p>
    <w:p>
      <w:pPr>
        <w:pStyle w:val="1106"/>
        <w:ind w:firstLine="480"/>
        <w:spacing w:line="360" w:lineRule="auto"/>
        <w:rPr>
          <w:rFonts w:ascii="宋体" w:hAnsi="宋体" w:cs="宋体"/>
          <w:color w:val="000000"/>
          <w:sz w:val="24"/>
          <w:szCs w:val="24"/>
          <w:u w:val="none"/>
        </w:rPr>
      </w:pPr>
      <w:r>
        <w:rPr>
          <w:rFonts w:ascii="宋体" w:hAnsi="宋体" w:cs="宋体"/>
          <w:color w:val="000000"/>
          <w:sz w:val="24"/>
          <w:szCs w:val="24"/>
          <w:u w:val="none"/>
        </w:rPr>
      </w:r>
      <w:r/>
    </w:p>
    <w:p>
      <w:pPr>
        <w:pStyle w:val="1106"/>
        <w:ind w:firstLine="480"/>
        <w:spacing w:line="360" w:lineRule="auto"/>
        <w:rPr>
          <w:rFonts w:ascii="宋体" w:hAnsi="宋体" w:cs="宋体"/>
          <w:color w:val="000000"/>
          <w:sz w:val="24"/>
          <w:szCs w:val="24"/>
          <w:u w:val="none"/>
        </w:rPr>
      </w:pPr>
      <w:r>
        <w:rPr>
          <w:rFonts w:ascii="宋体" w:hAnsi="宋体" w:cs="宋体"/>
          <w:color w:val="000000"/>
          <w:sz w:val="24"/>
          <w:szCs w:val="24"/>
          <w:u w:val="none"/>
        </w:rPr>
      </w:r>
      <w:r/>
    </w:p>
    <w:p>
      <w:pPr>
        <w:pStyle w:val="1106"/>
        <w:ind w:firstLine="480"/>
        <w:jc w:val="right"/>
        <w:spacing w:line="360" w:lineRule="auto"/>
        <w:rPr>
          <w:rFonts w:ascii="宋体" w:hAnsi="宋体" w:cs="宋体"/>
          <w:color w:val="000000"/>
          <w:sz w:val="24"/>
          <w:szCs w:val="24"/>
          <w:u w:val="none"/>
        </w:rPr>
      </w:pPr>
      <w:r>
        <w:rPr>
          <w:rFonts w:hint="eastAsia" w:ascii="宋体" w:hAnsi="宋体" w:cs="宋体"/>
          <w:color w:val="000000"/>
          <w:sz w:val="24"/>
          <w:szCs w:val="24"/>
          <w:u w:val="none"/>
        </w:rPr>
        <w:t xml:space="preserve">供应商</w:t>
      </w:r>
      <w:r>
        <w:rPr>
          <w:rFonts w:ascii="宋体" w:hAnsi="宋体" w:cs="宋体"/>
          <w:color w:val="000000"/>
          <w:sz w:val="24"/>
          <w:szCs w:val="24"/>
          <w:u w:val="none"/>
        </w:rPr>
        <w:t xml:space="preserve">名称(公章)： </w:t>
      </w:r>
      <w:r/>
    </w:p>
    <w:p>
      <w:pPr>
        <w:pStyle w:val="1106"/>
        <w:ind w:firstLine="720"/>
        <w:jc w:val="center"/>
        <w:spacing w:line="360" w:lineRule="auto"/>
        <w:rPr>
          <w:rFonts w:ascii="宋体" w:hAnsi="宋体"/>
          <w:color w:val="000000"/>
          <w:sz w:val="24"/>
          <w:u w:val="none"/>
        </w:rPr>
      </w:pPr>
      <w:r>
        <w:rPr>
          <w:rFonts w:hint="eastAsia" w:ascii="宋体" w:hAnsi="宋体" w:cs="宋体"/>
          <w:color w:val="000000"/>
          <w:sz w:val="24"/>
          <w:szCs w:val="24"/>
          <w:u w:val="none"/>
        </w:rPr>
        <w:t xml:space="preserve">                                                       </w:t>
      </w:r>
      <w:r>
        <w:rPr>
          <w:rFonts w:ascii="宋体" w:hAnsi="宋体" w:cs="宋体"/>
          <w:color w:val="000000"/>
          <w:sz w:val="24"/>
          <w:szCs w:val="24"/>
          <w:u w:val="none"/>
        </w:rPr>
        <w:t xml:space="preserve">日期： 年 月 日</w:t>
      </w:r>
      <w:r/>
    </w:p>
    <w:p>
      <w:pPr>
        <w:pStyle w:val="1107"/>
        <w:jc w:val="center"/>
        <w:rPr>
          <w:rFonts w:ascii="宋体" w:hAnsi="宋体" w:eastAsia="宋体" w:cs="宋体"/>
          <w:color w:val="000000"/>
          <w:sz w:val="28"/>
          <w:u w:val="none"/>
        </w:rPr>
        <w:outlineLvl w:val="2"/>
      </w:pPr>
      <w:r/>
      <w:bookmarkStart w:id="417" w:name="_Toc256000072"/>
      <w:r/>
      <w:r/>
    </w:p>
    <w:p>
      <w:pPr>
        <w:pStyle w:val="1107"/>
        <w:jc w:val="center"/>
        <w:rPr>
          <w:rFonts w:ascii="宋体" w:hAnsi="宋体" w:eastAsia="宋体" w:cs="宋体"/>
          <w:color w:val="000000"/>
          <w:sz w:val="28"/>
          <w:u w:val="none"/>
        </w:rPr>
        <w:outlineLvl w:val="2"/>
      </w:pPr>
      <w:r>
        <w:rPr>
          <w:rFonts w:ascii="宋体" w:hAnsi="宋体" w:eastAsia="宋体" w:cs="宋体"/>
          <w:color w:val="000000"/>
          <w:sz w:val="28"/>
          <w:u w:val="none"/>
        </w:rPr>
      </w:r>
      <w:r/>
    </w:p>
    <w:p>
      <w:pPr>
        <w:pStyle w:val="1107"/>
        <w:jc w:val="center"/>
        <w:rPr>
          <w:rFonts w:ascii="宋体" w:hAnsi="宋体" w:eastAsia="宋体" w:cs="宋体"/>
          <w:color w:val="000000"/>
          <w:sz w:val="28"/>
          <w:u w:val="none"/>
        </w:rPr>
        <w:outlineLvl w:val="2"/>
      </w:pPr>
      <w:r>
        <w:rPr>
          <w:rFonts w:ascii="宋体" w:hAnsi="宋体" w:eastAsia="宋体" w:cs="宋体"/>
          <w:color w:val="000000"/>
          <w:sz w:val="28"/>
          <w:u w:val="none"/>
        </w:rPr>
      </w:r>
      <w:r/>
    </w:p>
    <w:p>
      <w:pPr>
        <w:rPr>
          <w:rFonts w:ascii="宋体" w:hAnsi="宋体" w:eastAsia="宋体" w:cs="宋体"/>
          <w:color w:val="000000"/>
          <w:sz w:val="28"/>
          <w:u w:val="none"/>
        </w:rPr>
      </w:pPr>
      <w:r>
        <w:rPr>
          <w:rFonts w:ascii="宋体" w:hAnsi="宋体" w:eastAsia="宋体" w:cs="宋体"/>
          <w:color w:val="000000"/>
          <w:sz w:val="28"/>
          <w:u w:val="none"/>
        </w:rPr>
        <w:br w:type="page" w:clear="all"/>
      </w:r>
      <w:r/>
    </w:p>
    <w:p>
      <w:pPr>
        <w:pStyle w:val="1107"/>
        <w:jc w:val="center"/>
        <w:rPr>
          <w:color w:val="000000"/>
          <w:u w:val="none"/>
        </w:rPr>
        <w:outlineLvl w:val="2"/>
      </w:pPr>
      <w:r>
        <w:rPr>
          <w:rFonts w:ascii="宋体" w:hAnsi="宋体" w:eastAsia="宋体" w:cs="宋体"/>
          <w:color w:val="000000"/>
          <w:sz w:val="28"/>
          <w:u w:val="none"/>
        </w:rPr>
        <w:t xml:space="preserve">(五)依法缴纳税收和社会保障资金的良好记录</w:t>
      </w:r>
      <w:bookmarkEnd w:id="417"/>
      <w:r/>
      <w:r/>
    </w:p>
    <w:p>
      <w:pPr>
        <w:pStyle w:val="1108"/>
        <w:rPr>
          <w:color w:val="000000"/>
          <w:u w:val="none"/>
        </w:rPr>
        <w:outlineLvl w:val="2"/>
      </w:pPr>
      <w:r>
        <w:rPr>
          <w:color w:val="000000"/>
          <w:u w:val="none"/>
        </w:rPr>
      </w:r>
      <w:r/>
    </w:p>
    <w:p>
      <w:pPr>
        <w:pStyle w:val="769"/>
        <w:ind w:firstLine="560"/>
        <w:jc w:val="both"/>
        <w:spacing w:line="360" w:lineRule="auto"/>
        <w:rPr>
          <w:rFonts w:ascii="宋体" w:hAnsi="宋体" w:eastAsia="宋体"/>
          <w:b w:val="0"/>
          <w:bCs/>
          <w:color w:val="000000" w:themeColor="text1"/>
          <w:sz w:val="28"/>
          <w:szCs w:val="28"/>
          <w:u w:val="none"/>
        </w:rPr>
      </w:pPr>
      <w:r/>
      <w:bookmarkStart w:id="418" w:name="_Toc256000074"/>
      <w:r>
        <w:rPr>
          <w:rFonts w:hint="eastAsia" w:ascii="宋体" w:hAnsi="宋体" w:eastAsia="宋体"/>
          <w:b w:val="0"/>
          <w:bCs/>
          <w:color w:val="000000" w:themeColor="text1"/>
          <w:sz w:val="28"/>
          <w:szCs w:val="28"/>
          <w:u w:val="none"/>
        </w:rPr>
        <w:t xml:space="preserve">提供参加本次政府采购活动前半年内至少一个月依法缴纳税收和社会保险的凭据，或提供资格承诺函。</w:t>
      </w:r>
      <w:r/>
    </w:p>
    <w:p>
      <w:pPr>
        <w:pStyle w:val="1109"/>
        <w:jc w:val="center"/>
        <w:rPr>
          <w:rFonts w:ascii="宋体" w:hAnsi="宋体" w:eastAsia="宋体" w:cs="宋体"/>
          <w:color w:val="000000"/>
          <w:sz w:val="28"/>
          <w:u w:val="none"/>
        </w:rPr>
        <w:outlineLvl w:val="2"/>
      </w:pPr>
      <w:r>
        <w:rPr>
          <w:rFonts w:ascii="宋体" w:hAnsi="宋体" w:eastAsia="宋体" w:cs="宋体"/>
          <w:color w:val="000000"/>
          <w:sz w:val="28"/>
          <w:u w:val="none"/>
        </w:rPr>
      </w:r>
      <w:r/>
    </w:p>
    <w:p>
      <w:pPr>
        <w:pStyle w:val="1109"/>
        <w:jc w:val="center"/>
        <w:rPr>
          <w:rFonts w:ascii="宋体" w:hAnsi="宋体" w:eastAsia="宋体" w:cs="宋体"/>
          <w:color w:val="000000"/>
          <w:sz w:val="28"/>
          <w:u w:val="none"/>
        </w:rPr>
        <w:outlineLvl w:val="2"/>
      </w:pPr>
      <w:r>
        <w:rPr>
          <w:rFonts w:ascii="宋体" w:hAnsi="宋体" w:eastAsia="宋体" w:cs="宋体"/>
          <w:color w:val="000000"/>
          <w:sz w:val="28"/>
          <w:u w:val="none"/>
        </w:rPr>
      </w:r>
      <w:r/>
    </w:p>
    <w:p>
      <w:pPr>
        <w:rPr>
          <w:rFonts w:ascii="宋体" w:hAnsi="宋体" w:eastAsia="宋体" w:cs="宋体"/>
          <w:color w:val="000000"/>
          <w:sz w:val="28"/>
          <w:u w:val="none"/>
        </w:rPr>
      </w:pPr>
      <w:r>
        <w:rPr>
          <w:rFonts w:ascii="宋体" w:hAnsi="宋体" w:eastAsia="宋体" w:cs="宋体"/>
          <w:color w:val="000000"/>
          <w:sz w:val="28"/>
          <w:u w:val="none"/>
        </w:rPr>
        <w:br w:type="page" w:clear="all"/>
      </w:r>
      <w:r/>
    </w:p>
    <w:p>
      <w:pPr>
        <w:pStyle w:val="1109"/>
        <w:jc w:val="center"/>
        <w:rPr>
          <w:rFonts w:ascii="宋体" w:hAnsi="宋体" w:eastAsia="宋体" w:cs="宋体"/>
          <w:color w:val="000000"/>
          <w:sz w:val="28"/>
          <w:u w:val="none"/>
        </w:rPr>
        <w:outlineLvl w:val="2"/>
      </w:pPr>
      <w:r>
        <w:rPr>
          <w:rFonts w:ascii="宋体" w:hAnsi="宋体" w:eastAsia="宋体" w:cs="宋体"/>
          <w:color w:val="000000"/>
          <w:sz w:val="28"/>
          <w:u w:val="none"/>
        </w:rPr>
        <w:t xml:space="preserve">(</w:t>
      </w:r>
      <w:r>
        <w:rPr>
          <w:rFonts w:hint="eastAsia" w:ascii="宋体" w:hAnsi="宋体" w:eastAsia="宋体" w:cs="宋体"/>
          <w:color w:val="000000"/>
          <w:sz w:val="28"/>
          <w:u w:val="none"/>
        </w:rPr>
        <w:t xml:space="preserve">六</w:t>
      </w:r>
      <w:r>
        <w:rPr>
          <w:rFonts w:ascii="宋体" w:hAnsi="宋体" w:eastAsia="宋体" w:cs="宋体"/>
          <w:color w:val="000000"/>
          <w:sz w:val="28"/>
          <w:u w:val="none"/>
        </w:rPr>
        <w:t xml:space="preserve">)</w:t>
      </w:r>
      <w:r>
        <w:rPr>
          <w:rFonts w:hint="eastAsia" w:ascii="宋体" w:hAnsi="宋体" w:eastAsia="宋体" w:cs="宋体"/>
          <w:color w:val="000000"/>
          <w:sz w:val="28"/>
          <w:u w:val="none"/>
        </w:rPr>
        <w:t xml:space="preserve">参加政府采购活动前三年内，在经营活动中没有重大违法记录</w:t>
      </w:r>
      <w:r/>
    </w:p>
    <w:p>
      <w:pPr>
        <w:spacing w:line="360" w:lineRule="auto"/>
        <w:rPr>
          <w:rFonts w:ascii="宋体" w:hAnsi="宋体"/>
          <w:color w:val="000000" w:themeColor="text1"/>
          <w:sz w:val="24"/>
          <w:szCs w:val="28"/>
          <w:u w:val="none"/>
        </w:rPr>
      </w:pPr>
      <w:r>
        <w:rPr>
          <w:rFonts w:hint="eastAsia" w:ascii="宋体" w:hAnsi="宋体"/>
          <w:color w:val="000000" w:themeColor="text1"/>
          <w:sz w:val="24"/>
          <w:u w:val="none"/>
        </w:rPr>
        <w:t xml:space="preserve">（1）投标函或资格承诺函。</w:t>
      </w:r>
      <w:r/>
    </w:p>
    <w:p>
      <w:pPr>
        <w:pStyle w:val="770"/>
        <w:keepLines w:val="0"/>
        <w:keepNext w:val="0"/>
        <w:spacing w:before="0" w:after="0" w:line="360" w:lineRule="auto"/>
        <w:rPr>
          <w:rFonts w:ascii="宋体" w:hAnsi="宋体"/>
          <w:b w:val="0"/>
          <w:color w:val="000000" w:themeColor="text1"/>
          <w:sz w:val="24"/>
          <w:szCs w:val="24"/>
          <w:u w:val="none"/>
          <w:lang w:eastAsia="zh-CN"/>
        </w:rPr>
      </w:pPr>
      <w:r>
        <w:rPr>
          <w:rFonts w:hint="eastAsia" w:ascii="宋体" w:hAnsi="宋体"/>
          <w:b w:val="0"/>
          <w:color w:val="000000" w:themeColor="text1"/>
          <w:sz w:val="24"/>
          <w:szCs w:val="24"/>
          <w:u w:val="none"/>
        </w:rPr>
        <w:t xml:space="preserve">（2）“信用中国”网站（www.creditchina.gov.cn）、中国政府采购网（www.ccgp.gov.cn）的查询结果未列入失信被执行人名单、重大税收违法案件当事人名单、政府采购严重违法失信行为名单，以现场查询为准。</w:t>
      </w:r>
      <w:r/>
    </w:p>
    <w:p>
      <w:pPr>
        <w:pStyle w:val="1109"/>
        <w:jc w:val="center"/>
        <w:rPr>
          <w:rFonts w:ascii="宋体" w:hAnsi="宋体" w:eastAsia="宋体" w:cs="宋体"/>
          <w:color w:val="000000"/>
          <w:sz w:val="28"/>
          <w:u w:val="none"/>
        </w:rPr>
        <w:outlineLvl w:val="2"/>
      </w:pPr>
      <w:r>
        <w:rPr>
          <w:rFonts w:ascii="宋体" w:hAnsi="宋体" w:eastAsia="宋体" w:cs="宋体"/>
          <w:color w:val="000000"/>
          <w:sz w:val="28"/>
          <w:u w:val="none"/>
        </w:rPr>
      </w:r>
      <w:r/>
    </w:p>
    <w:p>
      <w:pPr>
        <w:pStyle w:val="1109"/>
        <w:jc w:val="center"/>
        <w:rPr>
          <w:rFonts w:ascii="宋体" w:hAnsi="宋体" w:eastAsia="宋体" w:cs="宋体"/>
          <w:color w:val="000000"/>
          <w:sz w:val="28"/>
          <w:u w:val="none"/>
        </w:rPr>
        <w:outlineLvl w:val="2"/>
      </w:pPr>
      <w:r>
        <w:rPr>
          <w:rFonts w:ascii="宋体" w:hAnsi="宋体" w:eastAsia="宋体" w:cs="宋体"/>
          <w:color w:val="000000"/>
          <w:sz w:val="28"/>
          <w:u w:val="none"/>
        </w:rPr>
      </w:r>
      <w:r/>
    </w:p>
    <w:p>
      <w:pPr>
        <w:pStyle w:val="1109"/>
        <w:jc w:val="center"/>
        <w:rPr>
          <w:rFonts w:ascii="宋体" w:hAnsi="宋体" w:eastAsia="宋体" w:cs="宋体"/>
          <w:color w:val="000000"/>
          <w:sz w:val="28"/>
          <w:u w:val="none"/>
        </w:rPr>
        <w:outlineLvl w:val="2"/>
      </w:pPr>
      <w:r>
        <w:rPr>
          <w:rFonts w:ascii="宋体" w:hAnsi="宋体" w:eastAsia="宋体" w:cs="宋体"/>
          <w:color w:val="000000"/>
          <w:sz w:val="28"/>
          <w:u w:val="none"/>
        </w:rPr>
      </w:r>
      <w:r/>
    </w:p>
    <w:p>
      <w:pPr>
        <w:pStyle w:val="1109"/>
        <w:jc w:val="center"/>
        <w:rPr>
          <w:rFonts w:ascii="宋体" w:hAnsi="宋体" w:eastAsia="宋体" w:cs="宋体"/>
          <w:color w:val="000000"/>
          <w:sz w:val="28"/>
          <w:u w:val="none"/>
        </w:rPr>
        <w:outlineLvl w:val="2"/>
      </w:pPr>
      <w:r>
        <w:rPr>
          <w:rFonts w:ascii="宋体" w:hAnsi="宋体" w:eastAsia="宋体" w:cs="宋体"/>
          <w:color w:val="000000"/>
          <w:sz w:val="28"/>
          <w:u w:val="none"/>
        </w:rPr>
      </w:r>
      <w:r/>
    </w:p>
    <w:p>
      <w:pPr>
        <w:pStyle w:val="1109"/>
        <w:jc w:val="center"/>
        <w:rPr>
          <w:rFonts w:ascii="宋体" w:hAnsi="宋体" w:eastAsia="宋体" w:cs="宋体"/>
          <w:color w:val="000000"/>
          <w:sz w:val="28"/>
          <w:u w:val="none"/>
        </w:rPr>
        <w:outlineLvl w:val="2"/>
      </w:pPr>
      <w:r>
        <w:rPr>
          <w:rFonts w:ascii="宋体" w:hAnsi="宋体" w:eastAsia="宋体" w:cs="宋体"/>
          <w:color w:val="000000"/>
          <w:sz w:val="28"/>
          <w:u w:val="none"/>
        </w:rPr>
      </w:r>
      <w:r/>
    </w:p>
    <w:p>
      <w:pPr>
        <w:pStyle w:val="1109"/>
        <w:jc w:val="both"/>
        <w:rPr>
          <w:rFonts w:eastAsia="宋体"/>
          <w:color w:val="000000"/>
          <w:u w:val="none"/>
        </w:rPr>
        <w:outlineLvl w:val="2"/>
      </w:pPr>
      <w:r>
        <w:rPr>
          <w:rFonts w:eastAsia="宋体"/>
          <w:color w:val="000000"/>
          <w:u w:val="none"/>
        </w:rPr>
      </w:r>
      <w:r/>
    </w:p>
    <w:p>
      <w:pPr>
        <w:rPr>
          <w:rFonts w:ascii="宋体" w:hAnsi="宋体" w:eastAsia="宋体" w:cs="宋体"/>
          <w:color w:val="000000"/>
          <w:sz w:val="28"/>
          <w:u w:val="none"/>
        </w:rPr>
      </w:pPr>
      <w:r>
        <w:rPr>
          <w:rFonts w:ascii="宋体" w:hAnsi="宋体" w:eastAsia="宋体" w:cs="宋体"/>
          <w:color w:val="000000"/>
          <w:sz w:val="28"/>
          <w:u w:val="none"/>
        </w:rPr>
        <w:br w:type="page" w:clear="all"/>
      </w:r>
      <w:r/>
    </w:p>
    <w:p>
      <w:pPr>
        <w:pStyle w:val="1109"/>
        <w:jc w:val="center"/>
        <w:rPr>
          <w:color w:val="000000"/>
          <w:u w:val="none"/>
        </w:rPr>
        <w:outlineLvl w:val="2"/>
      </w:pPr>
      <w:r>
        <w:rPr>
          <w:rFonts w:ascii="宋体" w:hAnsi="宋体" w:eastAsia="宋体" w:cs="宋体"/>
          <w:color w:val="000000"/>
          <w:sz w:val="28"/>
          <w:u w:val="none"/>
        </w:rPr>
        <w:t xml:space="preserve">(</w:t>
      </w:r>
      <w:r>
        <w:rPr>
          <w:rFonts w:hint="eastAsia" w:ascii="宋体" w:hAnsi="宋体" w:eastAsia="宋体" w:cs="宋体"/>
          <w:color w:val="000000"/>
          <w:sz w:val="28"/>
          <w:u w:val="none"/>
        </w:rPr>
        <w:t xml:space="preserve">七</w:t>
      </w:r>
      <w:r>
        <w:rPr>
          <w:rFonts w:ascii="宋体" w:hAnsi="宋体" w:eastAsia="宋体" w:cs="宋体"/>
          <w:color w:val="000000"/>
          <w:sz w:val="28"/>
          <w:u w:val="none"/>
        </w:rPr>
        <w:t xml:space="preserve">)落实政府采购政策需满足的资格要求</w:t>
      </w:r>
      <w:bookmarkEnd w:id="418"/>
      <w:r/>
      <w:r/>
    </w:p>
    <w:p>
      <w:pPr>
        <w:pStyle w:val="1070"/>
        <w:jc w:val="center"/>
        <w:spacing w:before="240" w:beforeAutospacing="0" w:after="240" w:afterAutospacing="0"/>
        <w:rPr>
          <w:u w:val="none"/>
          <w:lang w:eastAsia="zh-CN"/>
        </w:rPr>
      </w:pPr>
      <w:r>
        <w:rPr>
          <w:rFonts w:hint="eastAsia" w:cs="宋体"/>
          <w:sz w:val="28"/>
          <w:szCs w:val="28"/>
          <w:u w:val="none"/>
          <w:lang w:eastAsia="zh-CN"/>
        </w:rPr>
        <w:t xml:space="preserve">7</w:t>
      </w:r>
      <w:r>
        <w:rPr>
          <w:rFonts w:cs="宋体"/>
          <w:sz w:val="28"/>
          <w:szCs w:val="28"/>
          <w:u w:val="none"/>
          <w:lang w:eastAsia="zh-CN"/>
        </w:rPr>
        <w:t xml:space="preserve">.1中小企业声明函</w:t>
      </w:r>
      <w:r/>
    </w:p>
    <w:p>
      <w:pPr>
        <w:pStyle w:val="1070"/>
        <w:ind w:firstLine="560"/>
        <w:spacing w:before="240" w:beforeAutospacing="0" w:after="240" w:afterAutospacing="0" w:line="360" w:lineRule="auto"/>
        <w:rPr>
          <w:u w:val="none"/>
          <w:lang w:eastAsia="zh-CN"/>
        </w:rPr>
      </w:pPr>
      <w:r>
        <w:rPr>
          <w:rFonts w:cs="宋体"/>
          <w:u w:val="none"/>
          <w:lang w:eastAsia="zh-CN"/>
        </w:rPr>
        <w:t xml:space="preserve">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r/>
    </w:p>
    <w:p>
      <w:pPr>
        <w:pStyle w:val="1070"/>
        <w:ind w:firstLine="480"/>
        <w:spacing w:before="240" w:beforeAutospacing="0" w:after="240" w:afterAutospacing="0" w:line="360" w:lineRule="auto"/>
        <w:rPr>
          <w:u w:val="none"/>
          <w:lang w:eastAsia="zh-CN"/>
        </w:rPr>
      </w:pPr>
      <w:r>
        <w:rPr>
          <w:rFonts w:cs="宋体"/>
          <w:u w:val="none"/>
          <w:lang w:eastAsia="zh-CN"/>
        </w:rPr>
        <w:t xml:space="preserve">1. （标的名称） ，属于（采购文件中明确的所属行业）；承接企业为（企业名称），从业人员    人，营业 收入为    万元，资产总额为    万元，属于（中型企业、 小型企业、微型企业）； </w:t>
      </w:r>
      <w:r/>
    </w:p>
    <w:p>
      <w:pPr>
        <w:pStyle w:val="1070"/>
        <w:ind w:firstLine="480"/>
        <w:spacing w:before="240" w:beforeAutospacing="0" w:after="240" w:afterAutospacing="0" w:line="360" w:lineRule="auto"/>
        <w:rPr>
          <w:u w:val="none"/>
          <w:lang w:eastAsia="zh-CN"/>
        </w:rPr>
      </w:pPr>
      <w:r>
        <w:rPr>
          <w:rFonts w:hint="eastAsia" w:cs="宋体"/>
          <w:u w:val="none"/>
          <w:lang w:eastAsia="zh-CN"/>
        </w:rPr>
        <w:t xml:space="preserve">2</w:t>
      </w:r>
      <w:r>
        <w:rPr>
          <w:rFonts w:cs="宋体"/>
          <w:u w:val="none"/>
          <w:lang w:eastAsia="zh-CN"/>
        </w:rPr>
        <w:t xml:space="preserve">. （标的名称） ，属于（采购文件中明确的所属行业）；承接企业为（企业名称），从业人员    人，营业 收入为    万元，资产总额为    万元，属于（中型企业、 小型企业、微型企业）； </w:t>
      </w:r>
      <w:r/>
    </w:p>
    <w:p>
      <w:pPr>
        <w:pStyle w:val="1070"/>
        <w:ind w:firstLine="560"/>
        <w:spacing w:before="240" w:beforeAutospacing="0" w:after="240" w:afterAutospacing="0" w:line="360" w:lineRule="auto"/>
        <w:rPr>
          <w:u w:val="none"/>
          <w:lang w:eastAsia="zh-CN"/>
        </w:rPr>
      </w:pPr>
      <w:r>
        <w:rPr>
          <w:rFonts w:cs="宋体"/>
          <w:u w:val="none"/>
          <w:lang w:eastAsia="zh-CN"/>
        </w:rPr>
        <w:t xml:space="preserve">…… </w:t>
      </w:r>
      <w:r/>
    </w:p>
    <w:p>
      <w:pPr>
        <w:pStyle w:val="1070"/>
        <w:ind w:firstLine="482"/>
        <w:spacing w:before="240" w:beforeAutospacing="0" w:after="240" w:afterAutospacing="0" w:line="360" w:lineRule="auto"/>
        <w:rPr>
          <w:b/>
          <w:u w:val="none"/>
          <w:lang w:eastAsia="zh-CN"/>
        </w:rPr>
      </w:pPr>
      <w:r>
        <w:rPr>
          <w:rFonts w:cs="宋体"/>
          <w:b/>
          <w:u w:val="none"/>
          <w:lang w:eastAsia="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1070"/>
        <w:ind w:firstLine="560"/>
        <w:spacing w:before="240" w:beforeAutospacing="0" w:after="240" w:afterAutospacing="0" w:line="360" w:lineRule="auto"/>
        <w:rPr>
          <w:rFonts w:cs="宋体"/>
          <w:u w:val="none"/>
          <w:lang w:eastAsia="zh-CN"/>
        </w:rPr>
      </w:pPr>
      <w:r>
        <w:rPr>
          <w:rFonts w:cs="宋体"/>
          <w:u w:val="none"/>
          <w:lang w:eastAsia="zh-CN"/>
        </w:rPr>
        <w:t xml:space="preserve">企业名称（盖章）：</w:t>
      </w:r>
      <w:r/>
    </w:p>
    <w:p>
      <w:pPr>
        <w:pStyle w:val="1070"/>
        <w:ind w:firstLine="560"/>
        <w:spacing w:before="240" w:beforeAutospacing="0" w:after="240" w:afterAutospacing="0" w:line="360" w:lineRule="auto"/>
        <w:rPr>
          <w:rFonts w:cs="宋体"/>
          <w:u w:val="none"/>
          <w:lang w:eastAsia="zh-CN"/>
        </w:rPr>
      </w:pPr>
      <w:r>
        <w:rPr>
          <w:rFonts w:cs="宋体"/>
          <w:u w:val="none"/>
          <w:lang w:eastAsia="zh-CN"/>
        </w:rPr>
        <w:t xml:space="preserve">日 期：</w:t>
      </w:r>
      <w:r/>
    </w:p>
    <w:p>
      <w:pPr>
        <w:pStyle w:val="1114"/>
        <w:jc w:val="both"/>
        <w:spacing w:line="360" w:lineRule="auto"/>
        <w:rPr>
          <w:rFonts w:ascii="宋体" w:hAnsi="宋体" w:eastAsia="宋体" w:cs="宋体"/>
          <w:b/>
          <w:color w:val="000000"/>
          <w:sz w:val="21"/>
          <w:szCs w:val="21"/>
          <w:u w:val="none"/>
        </w:rPr>
        <w:outlineLvl w:val="1"/>
      </w:pPr>
      <w:r>
        <w:rPr>
          <w:rFonts w:ascii="宋体" w:hAnsi="宋体" w:eastAsia="宋体" w:cs="宋体"/>
          <w:b/>
          <w:color w:val="000000"/>
          <w:sz w:val="21"/>
          <w:szCs w:val="21"/>
          <w:u w:val="none"/>
        </w:rPr>
        <w:t xml:space="preserve">注：</w:t>
      </w:r>
      <w:r>
        <w:rPr>
          <w:rFonts w:hint="eastAsia" w:ascii="宋体" w:hAnsi="宋体" w:eastAsia="宋体" w:cs="宋体"/>
          <w:b/>
          <w:color w:val="000000"/>
          <w:sz w:val="21"/>
          <w:szCs w:val="21"/>
          <w:u w:val="none"/>
        </w:rPr>
        <w:t xml:space="preserve">1.</w:t>
      </w:r>
      <w:r>
        <w:rPr>
          <w:rFonts w:ascii="宋体" w:hAnsi="宋体" w:eastAsia="宋体" w:cs="宋体"/>
          <w:b/>
          <w:color w:val="000000"/>
          <w:sz w:val="21"/>
          <w:szCs w:val="21"/>
          <w:u w:val="none"/>
        </w:rPr>
        <w:t xml:space="preserve">从业人员、营业收入、资产总额填报上一年度数据，无上一年度数据的新成立企业可不填报。</w:t>
      </w:r>
      <w:r/>
    </w:p>
    <w:p>
      <w:pPr>
        <w:pStyle w:val="1114"/>
        <w:ind w:firstLine="422"/>
        <w:jc w:val="both"/>
        <w:spacing w:line="360" w:lineRule="auto"/>
        <w:rPr>
          <w:rFonts w:ascii="宋体" w:hAnsi="宋体" w:eastAsia="宋体" w:cs="宋体"/>
          <w:b/>
          <w:color w:val="000000"/>
          <w:sz w:val="21"/>
          <w:szCs w:val="21"/>
          <w:u w:val="none"/>
        </w:rPr>
        <w:outlineLvl w:val="1"/>
      </w:pPr>
      <w:r>
        <w:rPr>
          <w:rFonts w:hint="eastAsia" w:ascii="宋体" w:hAnsi="宋体" w:eastAsia="宋体" w:cs="宋体"/>
          <w:b/>
          <w:color w:val="000000"/>
          <w:sz w:val="21"/>
          <w:szCs w:val="21"/>
          <w:u w:val="none"/>
        </w:rPr>
        <w:t xml:space="preserve">2</w:t>
      </w:r>
      <w:r>
        <w:rPr>
          <w:rFonts w:ascii="宋体" w:hAnsi="宋体" w:eastAsia="宋体" w:cs="宋体"/>
          <w:b/>
          <w:color w:val="000000"/>
          <w:sz w:val="21"/>
          <w:szCs w:val="21"/>
          <w:u w:val="none"/>
        </w:rPr>
        <w:t xml:space="preserve">.</w:t>
      </w:r>
      <w:r>
        <w:rPr>
          <w:rFonts w:hint="eastAsia" w:ascii="宋体" w:hAnsi="宋体" w:eastAsia="宋体" w:cs="宋体"/>
          <w:b/>
          <w:color w:val="000000"/>
          <w:sz w:val="21"/>
          <w:szCs w:val="21"/>
          <w:u w:val="none"/>
        </w:rPr>
        <w:t xml:space="preserve">本声明函中“属于（中型企业、小型企业、微型企业）”的内容，必须且只能选择其中之一填写。</w:t>
      </w:r>
      <w:r/>
    </w:p>
    <w:p>
      <w:pPr>
        <w:pStyle w:val="1114"/>
        <w:ind w:firstLine="422"/>
        <w:jc w:val="both"/>
        <w:spacing w:line="360" w:lineRule="auto"/>
        <w:rPr>
          <w:rFonts w:ascii="宋体" w:hAnsi="宋体" w:eastAsia="宋体" w:cs="宋体"/>
          <w:b/>
          <w:color w:val="000000"/>
          <w:sz w:val="21"/>
          <w:szCs w:val="21"/>
          <w:u w:val="none"/>
        </w:rPr>
        <w:outlineLvl w:val="1"/>
      </w:pPr>
      <w:r>
        <w:rPr>
          <w:rFonts w:ascii="宋体" w:hAnsi="宋体" w:eastAsia="宋体" w:cs="宋体"/>
          <w:b/>
          <w:color w:val="000000"/>
          <w:sz w:val="21"/>
          <w:szCs w:val="21"/>
          <w:u w:val="non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070"/>
        <w:jc w:val="center"/>
        <w:spacing w:before="240" w:beforeAutospacing="0" w:after="240" w:afterAutospacing="0"/>
        <w:rPr>
          <w:rFonts w:cs="宋体"/>
          <w:b/>
          <w:sz w:val="32"/>
          <w:szCs w:val="32"/>
          <w:u w:val="none"/>
          <w:lang w:eastAsia="zh-CN"/>
        </w:rPr>
      </w:pPr>
      <w:r>
        <w:rPr>
          <w:u w:val="none"/>
          <w:lang w:eastAsia="zh-CN"/>
        </w:rPr>
        <w:br w:type="page" w:clear="all"/>
      </w:r>
      <w:bookmarkStart w:id="419" w:name="_Toc256000076"/>
      <w:r>
        <w:rPr>
          <w:rFonts w:hint="eastAsia" w:cs="宋体"/>
          <w:sz w:val="28"/>
          <w:szCs w:val="28"/>
          <w:u w:val="none"/>
          <w:lang w:eastAsia="zh-CN"/>
        </w:rPr>
        <w:t xml:space="preserve">7</w:t>
      </w:r>
      <w:r>
        <w:rPr>
          <w:rFonts w:cs="宋体"/>
          <w:sz w:val="28"/>
          <w:szCs w:val="28"/>
          <w:u w:val="none"/>
          <w:lang w:eastAsia="zh-CN"/>
        </w:rPr>
        <w:t xml:space="preserve">.</w:t>
      </w:r>
      <w:r>
        <w:rPr>
          <w:rFonts w:hint="eastAsia" w:cs="宋体"/>
          <w:sz w:val="28"/>
          <w:szCs w:val="28"/>
          <w:u w:val="none"/>
          <w:lang w:eastAsia="zh-CN"/>
        </w:rPr>
        <w:t xml:space="preserve">2、残疾人福利性单位声明函</w:t>
      </w:r>
      <w:r/>
    </w:p>
    <w:p>
      <w:pPr>
        <w:ind w:firstLine="560"/>
        <w:spacing w:line="480" w:lineRule="auto"/>
        <w:rPr>
          <w:rFonts w:ascii="宋体" w:hAnsi="宋体" w:cs="宋体"/>
          <w:color w:val="000000"/>
          <w:sz w:val="28"/>
          <w:u w:val="none"/>
        </w:rPr>
      </w:pPr>
      <w:r>
        <w:rPr>
          <w:rFonts w:ascii="宋体" w:hAnsi="宋体" w:cs="宋体"/>
          <w:color w:val="000000"/>
          <w:sz w:val="28"/>
          <w:u w:val="none"/>
        </w:rPr>
      </w:r>
      <w:r/>
    </w:p>
    <w:p>
      <w:pPr>
        <w:ind w:firstLine="560"/>
        <w:spacing w:line="480" w:lineRule="auto"/>
        <w:rPr>
          <w:rFonts w:ascii="宋体" w:hAnsi="宋体" w:cs="宋体"/>
          <w:color w:val="000000"/>
          <w:sz w:val="28"/>
          <w:u w:val="none"/>
        </w:rPr>
      </w:pPr>
      <w:r>
        <w:rPr>
          <w:rFonts w:hint="eastAsia" w:ascii="宋体" w:hAnsi="宋体" w:cs="宋体"/>
          <w:color w:val="000000"/>
          <w:sz w:val="28"/>
          <w:u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或者提供其他残疾人福利性单位制造的货物（不包括使用非残疾人福利性单位注册商标的货物）。</w:t>
      </w:r>
      <w:r/>
    </w:p>
    <w:p>
      <w:pPr>
        <w:ind w:firstLine="560"/>
        <w:spacing w:line="480" w:lineRule="auto"/>
        <w:rPr>
          <w:rFonts w:ascii="宋体" w:hAnsi="宋体" w:cs="宋体"/>
          <w:color w:val="000000"/>
          <w:sz w:val="28"/>
          <w:u w:val="none"/>
        </w:rPr>
      </w:pPr>
      <w:r>
        <w:rPr>
          <w:rFonts w:hint="eastAsia" w:ascii="宋体" w:hAnsi="宋体" w:cs="宋体"/>
          <w:color w:val="000000"/>
          <w:sz w:val="28"/>
          <w:u w:val="none"/>
        </w:rPr>
        <w:t xml:space="preserve">本单位对上述声明的真实性负责。如有虚假，将依法承担相应责任。 </w:t>
      </w:r>
      <w:r/>
    </w:p>
    <w:p>
      <w:pPr>
        <w:ind w:firstLine="560"/>
        <w:spacing w:line="480" w:lineRule="auto"/>
        <w:rPr>
          <w:rFonts w:ascii="宋体" w:hAnsi="宋体" w:cs="宋体"/>
          <w:color w:val="000000"/>
          <w:sz w:val="28"/>
          <w:u w:val="none"/>
        </w:rPr>
      </w:pPr>
      <w:r>
        <w:rPr>
          <w:rFonts w:ascii="宋体" w:hAnsi="宋体" w:cs="宋体"/>
          <w:color w:val="000000"/>
          <w:sz w:val="28"/>
          <w:u w:val="none"/>
        </w:rPr>
      </w:r>
      <w:r/>
    </w:p>
    <w:p>
      <w:pPr>
        <w:ind w:firstLine="560"/>
        <w:spacing w:line="480" w:lineRule="auto"/>
        <w:rPr>
          <w:rFonts w:ascii="宋体" w:hAnsi="宋体" w:cs="宋体"/>
          <w:color w:val="000000"/>
          <w:sz w:val="28"/>
          <w:u w:val="none"/>
        </w:rPr>
      </w:pPr>
      <w:r>
        <w:rPr>
          <w:rFonts w:ascii="宋体" w:hAnsi="宋体" w:cs="宋体"/>
          <w:color w:val="000000"/>
          <w:sz w:val="28"/>
          <w:u w:val="none"/>
        </w:rPr>
      </w:r>
      <w:r/>
    </w:p>
    <w:p>
      <w:pPr>
        <w:ind w:firstLine="560"/>
        <w:jc w:val="center"/>
        <w:spacing w:line="480" w:lineRule="auto"/>
        <w:rPr>
          <w:rFonts w:ascii="宋体" w:hAnsi="宋体" w:cs="宋体"/>
          <w:color w:val="000000"/>
          <w:sz w:val="28"/>
          <w:u w:val="none"/>
        </w:rPr>
      </w:pPr>
      <w:r>
        <w:rPr>
          <w:rFonts w:hint="eastAsia" w:ascii="宋体" w:hAnsi="宋体" w:cs="宋体"/>
          <w:color w:val="000000"/>
          <w:sz w:val="28"/>
          <w:u w:val="none"/>
        </w:rPr>
        <w:t xml:space="preserve">企业名称（盖章）：</w:t>
      </w:r>
      <w:r/>
    </w:p>
    <w:p>
      <w:pPr>
        <w:pStyle w:val="1151"/>
        <w:rPr>
          <w:rFonts w:ascii="宋体" w:hAnsi="宋体" w:eastAsia="宋体" w:cs="宋体"/>
          <w:color w:val="000000"/>
          <w:sz w:val="28"/>
          <w:u w:val="none"/>
        </w:rPr>
      </w:pPr>
      <w:r>
        <w:rPr>
          <w:rFonts w:hint="eastAsia" w:ascii="宋体" w:hAnsi="宋体" w:eastAsia="宋体" w:cs="宋体"/>
          <w:color w:val="000000"/>
          <w:sz w:val="28"/>
          <w:u w:val="none"/>
        </w:rPr>
        <w:t xml:space="preserve">                  日期：   年    月    日</w:t>
      </w:r>
      <w:r/>
    </w:p>
    <w:p>
      <w:pPr>
        <w:pStyle w:val="1151"/>
        <w:rPr>
          <w:rFonts w:ascii="宋体" w:hAnsi="宋体" w:eastAsia="宋体" w:cs="宋体"/>
          <w:color w:val="000000"/>
          <w:sz w:val="28"/>
          <w:u w:val="none"/>
        </w:rPr>
      </w:pPr>
      <w:r>
        <w:rPr>
          <w:rFonts w:ascii="宋体" w:hAnsi="宋体" w:eastAsia="宋体" w:cs="宋体"/>
          <w:color w:val="000000"/>
          <w:sz w:val="28"/>
          <w:u w:val="none"/>
        </w:rPr>
      </w:r>
      <w:r/>
    </w:p>
    <w:p>
      <w:pPr>
        <w:pStyle w:val="1151"/>
        <w:rPr>
          <w:rFonts w:ascii="宋体" w:hAnsi="宋体" w:eastAsia="宋体" w:cs="宋体"/>
          <w:color w:val="000000"/>
          <w:sz w:val="28"/>
          <w:u w:val="none"/>
        </w:rPr>
      </w:pPr>
      <w:r>
        <w:rPr>
          <w:rFonts w:ascii="宋体" w:hAnsi="宋体" w:eastAsia="宋体" w:cs="宋体"/>
          <w:color w:val="000000"/>
          <w:sz w:val="28"/>
          <w:u w:val="none"/>
        </w:rPr>
      </w:r>
      <w:r/>
    </w:p>
    <w:p>
      <w:pPr>
        <w:pStyle w:val="1151"/>
        <w:rPr>
          <w:rFonts w:ascii="宋体" w:hAnsi="宋体" w:eastAsia="宋体" w:cs="宋体"/>
          <w:color w:val="000000"/>
          <w:sz w:val="28"/>
          <w:u w:val="none"/>
        </w:rPr>
      </w:pPr>
      <w:r>
        <w:rPr>
          <w:rFonts w:ascii="宋体" w:hAnsi="宋体" w:eastAsia="宋体" w:cs="宋体"/>
          <w:color w:val="000000"/>
          <w:sz w:val="28"/>
          <w:u w:val="none"/>
        </w:rPr>
      </w:r>
      <w:r/>
    </w:p>
    <w:p>
      <w:pPr>
        <w:pStyle w:val="1151"/>
        <w:rPr>
          <w:rFonts w:ascii="宋体" w:hAnsi="宋体" w:eastAsia="宋体" w:cs="宋体"/>
          <w:color w:val="000000"/>
          <w:sz w:val="28"/>
          <w:u w:val="none"/>
        </w:rPr>
      </w:pPr>
      <w:r>
        <w:rPr>
          <w:rFonts w:ascii="宋体" w:hAnsi="宋体" w:eastAsia="宋体" w:cs="宋体"/>
          <w:color w:val="000000"/>
          <w:sz w:val="28"/>
          <w:u w:val="none"/>
        </w:rPr>
      </w:r>
      <w:r/>
    </w:p>
    <w:p>
      <w:pPr>
        <w:pStyle w:val="1151"/>
        <w:rPr>
          <w:rFonts w:ascii="宋体" w:hAnsi="宋体" w:eastAsia="宋体" w:cs="宋体"/>
          <w:color w:val="000000"/>
          <w:sz w:val="28"/>
          <w:u w:val="none"/>
        </w:rPr>
      </w:pPr>
      <w:r>
        <w:rPr>
          <w:rFonts w:ascii="宋体" w:hAnsi="宋体" w:eastAsia="宋体" w:cs="宋体"/>
          <w:color w:val="000000"/>
          <w:sz w:val="28"/>
          <w:u w:val="none"/>
        </w:rPr>
      </w:r>
      <w:r/>
    </w:p>
    <w:p>
      <w:pPr>
        <w:pStyle w:val="1151"/>
        <w:rPr>
          <w:rFonts w:ascii="宋体" w:hAnsi="宋体" w:eastAsia="宋体" w:cs="宋体"/>
          <w:color w:val="000000"/>
          <w:sz w:val="28"/>
          <w:u w:val="none"/>
        </w:rPr>
      </w:pPr>
      <w:r>
        <w:rPr>
          <w:rFonts w:ascii="宋体" w:hAnsi="宋体" w:eastAsia="宋体" w:cs="宋体"/>
          <w:color w:val="000000"/>
          <w:sz w:val="28"/>
          <w:u w:val="none"/>
        </w:rPr>
      </w:r>
      <w:r/>
    </w:p>
    <w:p>
      <w:pPr>
        <w:rPr>
          <w:rFonts w:hint="eastAsia" w:ascii="宋体" w:hAnsi="宋体" w:eastAsia="宋体"/>
          <w:color w:val="000000" w:themeColor="text1"/>
          <w:sz w:val="32"/>
          <w:u w:val="none"/>
        </w:rPr>
      </w:pPr>
      <w:r>
        <w:rPr>
          <w:rFonts w:hint="eastAsia" w:ascii="宋体" w:hAnsi="宋体" w:eastAsia="宋体"/>
          <w:color w:val="000000" w:themeColor="text1"/>
          <w:sz w:val="32"/>
          <w:u w:val="none"/>
        </w:rPr>
        <w:br w:type="page" w:clear="all"/>
      </w:r>
      <w:r/>
    </w:p>
    <w:p>
      <w:pPr>
        <w:pStyle w:val="769"/>
        <w:jc w:val="center"/>
        <w:spacing w:line="360" w:lineRule="auto"/>
        <w:rPr>
          <w:rFonts w:hint="eastAsia" w:ascii="宋体" w:hAnsi="宋体" w:eastAsia="宋体"/>
          <w:b/>
          <w:bCs/>
          <w:color w:val="000000" w:themeColor="text1"/>
          <w:sz w:val="28"/>
          <w:szCs w:val="28"/>
          <w:u w:val="none"/>
        </w:rPr>
      </w:pPr>
      <w:r>
        <w:rPr>
          <w:rFonts w:hint="eastAsia" w:ascii="宋体" w:hAnsi="宋体" w:eastAsia="宋体"/>
          <w:b/>
          <w:bCs/>
          <w:color w:val="000000" w:themeColor="text1"/>
          <w:sz w:val="32"/>
          <w:u w:val="none"/>
        </w:rPr>
        <w:t xml:space="preserve">（八）资格承诺函</w:t>
      </w:r>
      <w:r/>
    </w:p>
    <w:p>
      <w:pPr>
        <w:pStyle w:val="769"/>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致：</w:t>
      </w:r>
      <w:r>
        <w:rPr>
          <w:rFonts w:hint="eastAsia" w:ascii="宋体" w:hAnsi="宋体" w:eastAsia="宋体" w:cs="宋体"/>
          <w:b w:val="0"/>
          <w:bCs/>
          <w:color w:val="000000" w:themeColor="text1"/>
          <w:sz w:val="28"/>
          <w:szCs w:val="28"/>
          <w:u w:val="none"/>
        </w:rPr>
        <w:t xml:space="preserve">    </w:t>
      </w:r>
      <w:r>
        <w:rPr>
          <w:rFonts w:hint="eastAsia" w:ascii="宋体" w:hAnsi="宋体" w:eastAsia="宋体"/>
          <w:b w:val="0"/>
          <w:bCs/>
          <w:color w:val="000000" w:themeColor="text1"/>
          <w:sz w:val="28"/>
          <w:szCs w:val="28"/>
          <w:u w:val="none"/>
        </w:rPr>
        <w:t xml:space="preserve">（采购人、采购代理机构）</w:t>
      </w:r>
      <w:r>
        <w:rPr>
          <w:rFonts w:hint="eastAsia" w:ascii="宋体" w:hAnsi="宋体" w:eastAsia="宋体" w:cs="宋体"/>
          <w:b w:val="0"/>
          <w:bCs/>
          <w:color w:val="000000" w:themeColor="text1"/>
          <w:sz w:val="28"/>
          <w:szCs w:val="28"/>
          <w:u w:val="none"/>
        </w:rPr>
        <w:t xml:space="preserve">   </w:t>
      </w:r>
      <w:r/>
    </w:p>
    <w:p>
      <w:pPr>
        <w:pStyle w:val="769"/>
        <w:ind w:firstLine="560"/>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我单位参与</w:t>
      </w:r>
      <w:r>
        <w:rPr>
          <w:rFonts w:hint="eastAsia" w:ascii="宋体" w:hAnsi="宋体" w:eastAsia="宋体" w:cs="宋体"/>
          <w:b w:val="0"/>
          <w:bCs/>
          <w:color w:val="000000" w:themeColor="text1"/>
          <w:sz w:val="28"/>
          <w:szCs w:val="28"/>
          <w:u w:val="none"/>
        </w:rPr>
        <w:t xml:space="preserve">  </w:t>
      </w:r>
      <w:r>
        <w:rPr>
          <w:rFonts w:hint="eastAsia" w:ascii="宋体" w:hAnsi="宋体" w:eastAsia="宋体"/>
          <w:b w:val="0"/>
          <w:bCs/>
          <w:color w:val="000000" w:themeColor="text1"/>
          <w:sz w:val="28"/>
          <w:szCs w:val="28"/>
          <w:u w:val="none"/>
        </w:rPr>
        <w:t xml:space="preserve">（项目名称）</w:t>
      </w:r>
      <w:r>
        <w:rPr>
          <w:rFonts w:hint="eastAsia" w:ascii="宋体" w:hAnsi="宋体" w:eastAsia="宋体" w:cs="宋体"/>
          <w:b w:val="0"/>
          <w:bCs/>
          <w:color w:val="000000" w:themeColor="text1"/>
          <w:sz w:val="28"/>
          <w:szCs w:val="28"/>
          <w:u w:val="none"/>
        </w:rPr>
        <w:t xml:space="preserve">  </w:t>
      </w:r>
      <w:r>
        <w:rPr>
          <w:rFonts w:hint="eastAsia" w:ascii="宋体" w:hAnsi="宋体" w:eastAsia="宋体"/>
          <w:b w:val="0"/>
          <w:bCs/>
          <w:color w:val="000000" w:themeColor="text1"/>
          <w:sz w:val="28"/>
          <w:szCs w:val="28"/>
          <w:u w:val="none"/>
        </w:rPr>
        <w:t xml:space="preserve">（项目编号：</w:t>
      </w:r>
      <w:r>
        <w:rPr>
          <w:rFonts w:hint="eastAsia" w:ascii="宋体" w:hAnsi="宋体" w:eastAsia="宋体" w:cs="宋体"/>
          <w:b w:val="0"/>
          <w:bCs/>
          <w:color w:val="000000" w:themeColor="text1"/>
          <w:sz w:val="28"/>
          <w:szCs w:val="28"/>
          <w:u w:val="none"/>
        </w:rPr>
        <w:t xml:space="preserve">    </w:t>
      </w:r>
      <w:r>
        <w:rPr>
          <w:rFonts w:hint="eastAsia" w:ascii="宋体" w:hAnsi="宋体" w:eastAsia="宋体"/>
          <w:b w:val="0"/>
          <w:bCs/>
          <w:color w:val="000000" w:themeColor="text1"/>
          <w:sz w:val="28"/>
          <w:szCs w:val="28"/>
          <w:u w:val="none"/>
        </w:rPr>
        <w:t xml:space="preserve">）项目的政府采购活动，现承诺如下：</w:t>
      </w:r>
      <w:r/>
    </w:p>
    <w:p>
      <w:pPr>
        <w:pStyle w:val="769"/>
        <w:ind w:firstLine="560"/>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1.我方具有良好的商业信誉和健全的财务会计制度。</w:t>
      </w:r>
      <w:r/>
    </w:p>
    <w:p>
      <w:pPr>
        <w:pStyle w:val="769"/>
        <w:ind w:firstLine="560"/>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2.我方具有履行合同所必需的设备和专业技术能力。</w:t>
      </w:r>
      <w:r/>
    </w:p>
    <w:p>
      <w:pPr>
        <w:pStyle w:val="769"/>
        <w:ind w:firstLine="560"/>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3.我方具有依法缴纳税收和社会保障资金的良好记录。</w:t>
      </w:r>
      <w:r/>
    </w:p>
    <w:p>
      <w:pPr>
        <w:pStyle w:val="769"/>
        <w:ind w:firstLine="560"/>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4.我方参加本项目采购活动前三年内，在经营活动中没有重大违法记录。</w:t>
      </w:r>
      <w:r/>
    </w:p>
    <w:p>
      <w:pPr>
        <w:pStyle w:val="769"/>
        <w:ind w:firstLine="560"/>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若我单位承诺不实，自愿承担提供虚假材料谋取中标、成交的法律责任。</w:t>
      </w:r>
      <w:r/>
    </w:p>
    <w:p>
      <w:pPr>
        <w:pStyle w:val="769"/>
        <w:ind w:firstLine="560"/>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投标（响应）供应商（全称并盖章）：</w:t>
      </w:r>
      <w:r>
        <w:rPr>
          <w:rFonts w:hint="eastAsia" w:ascii="宋体" w:hAnsi="宋体" w:eastAsia="宋体" w:cs="宋体"/>
          <w:b w:val="0"/>
          <w:bCs/>
          <w:color w:val="000000" w:themeColor="text1"/>
          <w:sz w:val="28"/>
          <w:szCs w:val="28"/>
          <w:u w:val="none"/>
        </w:rPr>
        <w:t xml:space="preserve">         </w:t>
      </w:r>
      <w:r/>
    </w:p>
    <w:p>
      <w:pPr>
        <w:pStyle w:val="769"/>
        <w:ind w:firstLine="560"/>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供应商法定代表人或授权代表（签字或签章）：</w:t>
      </w:r>
      <w:r>
        <w:rPr>
          <w:rFonts w:hint="eastAsia" w:ascii="宋体" w:hAnsi="宋体" w:eastAsia="宋体" w:cs="宋体"/>
          <w:b w:val="0"/>
          <w:bCs/>
          <w:color w:val="000000" w:themeColor="text1"/>
          <w:sz w:val="28"/>
          <w:szCs w:val="28"/>
          <w:u w:val="none"/>
        </w:rPr>
        <w:t xml:space="preserve">    </w:t>
      </w:r>
      <w:r/>
    </w:p>
    <w:p>
      <w:pPr>
        <w:pStyle w:val="769"/>
        <w:ind w:firstLine="560"/>
        <w:jc w:val="both"/>
        <w:spacing w:line="240" w:lineRule="auto"/>
        <w:tabs>
          <w:tab w:val="left" w:pos="6930" w:leader="none"/>
        </w:tabs>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日期：</w:t>
      </w:r>
      <w:r>
        <w:rPr>
          <w:rFonts w:hint="eastAsia" w:ascii="宋体" w:hAnsi="宋体" w:eastAsia="宋体" w:cs="宋体"/>
          <w:b w:val="0"/>
          <w:bCs/>
          <w:color w:val="000000" w:themeColor="text1"/>
          <w:sz w:val="28"/>
          <w:szCs w:val="28"/>
          <w:u w:val="none"/>
        </w:rPr>
        <w:t xml:space="preserve">     </w:t>
      </w:r>
      <w:r>
        <w:rPr>
          <w:rFonts w:ascii="宋体" w:hAnsi="宋体" w:eastAsia="宋体" w:cs="宋体"/>
          <w:b w:val="0"/>
          <w:bCs/>
          <w:color w:val="000000" w:themeColor="text1"/>
          <w:sz w:val="28"/>
          <w:szCs w:val="28"/>
          <w:u w:val="none"/>
        </w:rPr>
        <w:tab/>
      </w:r>
      <w:r/>
    </w:p>
    <w:p>
      <w:pPr>
        <w:pStyle w:val="769"/>
        <w:ind w:firstLine="560"/>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w:t>
      </w:r>
      <w:r/>
    </w:p>
    <w:p>
      <w:pPr>
        <w:pStyle w:val="769"/>
        <w:ind w:firstLine="560"/>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说明：1.供应商可自行选择是否提供本承诺函，若不提供本承诺函的，应按采购文件要求提供相应的证明材料。</w:t>
      </w:r>
      <w:r/>
    </w:p>
    <w:p>
      <w:pPr>
        <w:pStyle w:val="769"/>
        <w:ind w:firstLine="560"/>
        <w:jc w:val="left"/>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ascii="宋体" w:hAnsi="宋体"/>
          <w:color w:val="000000" w:themeColor="text1"/>
          <w:u w:val="none"/>
        </w:rPr>
        <w:br w:type="page" w:clear="all"/>
      </w:r>
      <w:bookmarkEnd w:id="419"/>
      <w:r/>
      <w:r/>
    </w:p>
    <w:p>
      <w:pPr>
        <w:pStyle w:val="770"/>
        <w:ind w:firstLine="643"/>
        <w:jc w:val="center"/>
        <w:keepLines w:val="0"/>
        <w:keepNext w:val="0"/>
        <w:spacing w:before="0" w:after="0" w:line="360" w:lineRule="auto"/>
        <w:rPr>
          <w:rFonts w:ascii="宋体" w:hAnsi="宋体"/>
          <w:b/>
          <w:bCs/>
          <w:color w:val="000000" w:themeColor="text1"/>
          <w:sz w:val="36"/>
          <w:szCs w:val="36"/>
          <w:u w:val="none"/>
          <w:lang w:eastAsia="zh-CN"/>
        </w:rPr>
      </w:pPr>
      <w:r>
        <w:rPr>
          <w:rFonts w:hint="eastAsia" w:ascii="宋体" w:hAnsi="宋体"/>
          <w:b/>
          <w:bCs/>
          <w:color w:val="000000" w:themeColor="text1"/>
          <w:szCs w:val="32"/>
          <w:u w:val="none"/>
          <w:lang w:eastAsia="zh-CN"/>
        </w:rPr>
        <w:t xml:space="preserve">二、法定代表人（负责人）身份证明书</w:t>
      </w:r>
      <w:r/>
    </w:p>
    <w:p>
      <w:pPr>
        <w:ind w:firstLine="560"/>
        <w:spacing w:line="360" w:lineRule="auto"/>
        <w:rPr>
          <w:rFonts w:ascii="宋体" w:hAnsi="宋体"/>
          <w:color w:val="000000" w:themeColor="text1"/>
          <w:sz w:val="28"/>
          <w:szCs w:val="28"/>
          <w:u w:val="none"/>
        </w:rPr>
      </w:pPr>
      <w:r>
        <w:rPr>
          <w:rFonts w:ascii="宋体" w:hAnsi="宋体"/>
          <w:color w:val="000000" w:themeColor="text1"/>
          <w:sz w:val="28"/>
          <w:szCs w:val="28"/>
          <w:u w:val="none"/>
        </w:rPr>
      </w:r>
      <w:r/>
    </w:p>
    <w:p>
      <w:pPr>
        <w:ind w:firstLine="560"/>
        <w:spacing w:line="360" w:lineRule="auto"/>
        <w:rPr>
          <w:rFonts w:ascii="宋体" w:hAnsi="宋体"/>
          <w:color w:val="000000" w:themeColor="text1"/>
          <w:sz w:val="28"/>
          <w:szCs w:val="28"/>
          <w:u w:val="none"/>
        </w:rPr>
      </w:pPr>
      <w:r>
        <w:rPr>
          <w:rFonts w:hint="eastAsia" w:ascii="宋体" w:hAnsi="宋体"/>
          <w:color w:val="000000" w:themeColor="text1"/>
          <w:sz w:val="28"/>
          <w:szCs w:val="28"/>
          <w:u w:val="none"/>
        </w:rPr>
        <w:t xml:space="preserve">兹证明</w:t>
      </w:r>
      <w:r>
        <w:rPr>
          <w:rFonts w:hint="eastAsia" w:ascii="宋体" w:hAnsi="宋体"/>
          <w:b/>
          <w:color w:val="000000" w:themeColor="text1"/>
          <w:sz w:val="24"/>
          <w:u w:val="none"/>
        </w:rPr>
        <w:t xml:space="preserve">×××（）姓名</w:t>
      </w:r>
      <w:r>
        <w:rPr>
          <w:rFonts w:hint="eastAsia" w:ascii="宋体" w:hAnsi="宋体"/>
          <w:color w:val="000000" w:themeColor="text1"/>
          <w:sz w:val="28"/>
          <w:szCs w:val="28"/>
          <w:u w:val="none"/>
        </w:rPr>
        <w:t xml:space="preserve">同志，性别</w:t>
      </w:r>
      <w:r>
        <w:rPr>
          <w:rFonts w:hint="eastAsia" w:ascii="宋体" w:hAnsi="宋体"/>
          <w:b/>
          <w:color w:val="000000" w:themeColor="text1"/>
          <w:sz w:val="24"/>
          <w:u w:val="none"/>
        </w:rPr>
        <w:t xml:space="preserve">×××</w:t>
      </w:r>
      <w:r>
        <w:rPr>
          <w:rFonts w:hint="eastAsia" w:ascii="宋体" w:hAnsi="宋体"/>
          <w:color w:val="000000" w:themeColor="text1"/>
          <w:sz w:val="28"/>
          <w:szCs w:val="28"/>
          <w:u w:val="none"/>
        </w:rPr>
        <w:t xml:space="preserve">，</w:t>
      </w:r>
      <w:r>
        <w:rPr>
          <w:rFonts w:hint="eastAsia" w:ascii="宋体" w:hAnsi="宋体"/>
          <w:color w:val="000000" w:themeColor="text1"/>
          <w:sz w:val="28"/>
          <w:u w:val="none"/>
        </w:rPr>
        <w:t xml:space="preserve">居民身份证号</w:t>
      </w:r>
      <w:r>
        <w:rPr>
          <w:rFonts w:hint="eastAsia" w:ascii="宋体" w:hAnsi="宋体"/>
          <w:b/>
          <w:color w:val="000000" w:themeColor="text1"/>
          <w:sz w:val="24"/>
          <w:u w:val="none"/>
        </w:rPr>
        <w:t xml:space="preserve">×××</w:t>
      </w:r>
      <w:r>
        <w:rPr>
          <w:rFonts w:hint="eastAsia" w:ascii="宋体" w:hAnsi="宋体"/>
          <w:color w:val="000000" w:themeColor="text1"/>
          <w:sz w:val="28"/>
          <w:szCs w:val="28"/>
          <w:u w:val="none"/>
        </w:rPr>
        <w:t xml:space="preserve">，在我单位任职务，系我单位主要负责人即法定代表人。</w:t>
      </w:r>
      <w:r/>
    </w:p>
    <w:p>
      <w:pPr>
        <w:ind w:firstLine="560"/>
        <w:spacing w:line="360" w:lineRule="auto"/>
        <w:rPr>
          <w:rFonts w:ascii="宋体" w:hAnsi="宋体"/>
          <w:color w:val="000000" w:themeColor="text1"/>
          <w:sz w:val="28"/>
          <w:szCs w:val="28"/>
          <w:u w:val="none"/>
        </w:rPr>
      </w:pPr>
      <w:r>
        <w:rPr>
          <w:rFonts w:ascii="宋体" w:hAnsi="宋体"/>
          <w:color w:val="000000" w:themeColor="text1"/>
          <w:sz w:val="28"/>
          <w:szCs w:val="28"/>
          <w:u w:val="none"/>
        </w:rPr>
      </w:r>
      <w:r/>
    </w:p>
    <w:p>
      <w:pPr>
        <w:ind w:firstLine="560"/>
        <w:spacing w:line="360" w:lineRule="auto"/>
        <w:rPr>
          <w:rFonts w:ascii="宋体" w:hAnsi="宋体"/>
          <w:color w:val="000000" w:themeColor="text1"/>
          <w:sz w:val="28"/>
          <w:szCs w:val="28"/>
          <w:u w:val="none"/>
        </w:rPr>
      </w:pPr>
      <w:r>
        <w:rPr>
          <w:rFonts w:hint="eastAsia" w:ascii="宋体" w:hAnsi="宋体"/>
          <w:color w:val="000000" w:themeColor="text1"/>
          <w:sz w:val="28"/>
          <w:szCs w:val="28"/>
          <w:u w:val="none"/>
        </w:rPr>
        <w:t xml:space="preserve">单位地址：</w:t>
      </w:r>
      <w:r/>
    </w:p>
    <w:p>
      <w:pPr>
        <w:ind w:firstLine="560"/>
        <w:spacing w:line="360" w:lineRule="auto"/>
        <w:rPr>
          <w:rFonts w:ascii="宋体" w:hAnsi="宋体"/>
          <w:color w:val="000000" w:themeColor="text1"/>
          <w:sz w:val="28"/>
          <w:szCs w:val="28"/>
          <w:u w:val="none"/>
        </w:rPr>
      </w:pPr>
      <w:r>
        <w:rPr>
          <w:rFonts w:ascii="宋体" w:hAnsi="宋体"/>
          <w:color w:val="000000" w:themeColor="text1"/>
          <w:sz w:val="28"/>
          <w:szCs w:val="28"/>
          <w:u w:val="none"/>
        </w:rPr>
      </w:r>
      <w:r/>
    </w:p>
    <w:p>
      <w:pPr>
        <w:ind w:firstLine="560"/>
        <w:spacing w:line="360" w:lineRule="auto"/>
        <w:rPr>
          <w:rFonts w:ascii="宋体" w:hAnsi="宋体"/>
          <w:color w:val="000000" w:themeColor="text1"/>
          <w:sz w:val="28"/>
          <w:szCs w:val="28"/>
          <w:u w:val="none"/>
        </w:rPr>
      </w:pPr>
      <w:r>
        <w:rPr>
          <w:rFonts w:hint="eastAsia" w:ascii="宋体" w:hAnsi="宋体"/>
          <w:color w:val="000000" w:themeColor="text1"/>
          <w:sz w:val="28"/>
          <w:szCs w:val="28"/>
          <w:u w:val="none"/>
        </w:rPr>
        <w:t xml:space="preserve">电    话：</w:t>
      </w:r>
      <w:r/>
    </w:p>
    <w:p>
      <w:pPr>
        <w:ind w:firstLine="560"/>
        <w:spacing w:line="360" w:lineRule="auto"/>
        <w:rPr>
          <w:rFonts w:ascii="宋体" w:hAnsi="宋体"/>
          <w:color w:val="000000" w:themeColor="text1"/>
          <w:sz w:val="28"/>
          <w:szCs w:val="28"/>
          <w:u w:val="none"/>
        </w:rPr>
      </w:pPr>
      <w:r>
        <w:rPr>
          <w:rFonts w:ascii="宋体" w:hAnsi="宋体"/>
          <w:color w:val="000000" w:themeColor="text1"/>
          <w:sz w:val="28"/>
          <w:szCs w:val="28"/>
          <w:u w:val="none"/>
        </w:rPr>
      </w:r>
      <w:r/>
    </w:p>
    <w:p>
      <w:pPr>
        <w:ind w:firstLine="560"/>
        <w:spacing w:line="360" w:lineRule="auto"/>
        <w:rPr>
          <w:rFonts w:ascii="宋体" w:hAnsi="宋体"/>
          <w:color w:val="000000" w:themeColor="text1"/>
          <w:sz w:val="28"/>
          <w:szCs w:val="28"/>
          <w:u w:val="none"/>
        </w:rPr>
      </w:pPr>
      <w:r>
        <w:rPr>
          <w:rFonts w:hint="eastAsia" w:ascii="宋体" w:hAnsi="宋体"/>
          <w:color w:val="000000" w:themeColor="text1"/>
          <w:sz w:val="28"/>
          <w:szCs w:val="28"/>
          <w:u w:val="none"/>
        </w:rPr>
        <w:t xml:space="preserve">单位全称： </w:t>
      </w:r>
      <w:r/>
    </w:p>
    <w:p>
      <w:pPr>
        <w:ind w:firstLine="560"/>
        <w:spacing w:line="360" w:lineRule="auto"/>
        <w:rPr>
          <w:rFonts w:ascii="宋体" w:hAnsi="宋体"/>
          <w:color w:val="000000" w:themeColor="text1"/>
          <w:sz w:val="28"/>
          <w:szCs w:val="28"/>
          <w:u w:val="none"/>
        </w:rPr>
      </w:pPr>
      <w:r>
        <w:rPr>
          <w:rFonts w:ascii="宋体" w:hAnsi="宋体"/>
          <w:color w:val="000000" w:themeColor="text1"/>
          <w:sz w:val="28"/>
          <w:szCs w:val="28"/>
          <w:u w:val="none"/>
        </w:rPr>
      </w:r>
      <w:r/>
    </w:p>
    <w:p>
      <w:pPr>
        <w:ind w:firstLine="560"/>
        <w:spacing w:line="360" w:lineRule="auto"/>
        <w:rPr>
          <w:rFonts w:ascii="宋体" w:hAnsi="宋体"/>
          <w:color w:val="000000" w:themeColor="text1"/>
          <w:sz w:val="28"/>
          <w:szCs w:val="28"/>
          <w:u w:val="none"/>
        </w:rPr>
      </w:pPr>
      <w:r>
        <w:rPr>
          <w:rFonts w:hint="eastAsia" w:ascii="宋体" w:hAnsi="宋体"/>
          <w:color w:val="000000" w:themeColor="text1"/>
          <w:sz w:val="28"/>
          <w:szCs w:val="28"/>
          <w:u w:val="none"/>
        </w:rPr>
        <w:t xml:space="preserve">公    章： </w:t>
      </w:r>
      <w:r/>
    </w:p>
    <w:p>
      <w:pPr>
        <w:ind w:firstLine="560"/>
        <w:spacing w:line="360" w:lineRule="auto"/>
        <w:tabs>
          <w:tab w:val="left" w:pos="7290" w:leader="none"/>
        </w:tabs>
        <w:rPr>
          <w:rFonts w:ascii="宋体" w:hAnsi="宋体"/>
          <w:color w:val="000000" w:themeColor="text1"/>
          <w:sz w:val="28"/>
          <w:szCs w:val="28"/>
          <w:u w:val="none"/>
        </w:rPr>
      </w:pPr>
      <w:r>
        <w:rPr>
          <w:rFonts w:ascii="宋体" w:hAnsi="宋体"/>
          <w:color w:val="000000" w:themeColor="text1"/>
          <w:sz w:val="28"/>
          <w:szCs w:val="28"/>
          <w:u w:val="none"/>
        </w:rPr>
      </w:r>
      <w:r/>
    </w:p>
    <w:p>
      <w:pPr>
        <w:ind w:firstLine="560"/>
        <w:jc w:val="right"/>
        <w:spacing w:line="360" w:lineRule="auto"/>
        <w:tabs>
          <w:tab w:val="left" w:pos="7290" w:leader="none"/>
        </w:tabs>
        <w:rPr>
          <w:rFonts w:ascii="宋体" w:hAnsi="宋体"/>
          <w:color w:val="000000" w:themeColor="text1"/>
          <w:sz w:val="28"/>
          <w:szCs w:val="28"/>
          <w:u w:val="none"/>
        </w:rPr>
      </w:pPr>
      <w:r>
        <w:rPr>
          <w:rFonts w:hint="eastAsia" w:ascii="宋体" w:hAnsi="宋体"/>
          <w:color w:val="000000" w:themeColor="text1"/>
          <w:sz w:val="28"/>
          <w:szCs w:val="28"/>
          <w:u w:val="none"/>
        </w:rPr>
        <w:t xml:space="preserve">  年     月    日</w:t>
      </w:r>
      <w:r/>
    </w:p>
    <w:p>
      <w:pPr>
        <w:jc w:val="left"/>
        <w:spacing w:line="360" w:lineRule="auto"/>
        <w:rPr>
          <w:rFonts w:ascii="宋体" w:hAnsi="宋体"/>
          <w:b/>
          <w:color w:val="000000" w:themeColor="text1"/>
          <w:sz w:val="32"/>
          <w:szCs w:val="32"/>
          <w:u w:val="none"/>
        </w:rPr>
      </w:pPr>
      <w:r>
        <w:rPr>
          <w:rFonts w:ascii="宋体" w:hAnsi="宋体"/>
          <w:b/>
          <w:color w:val="000000" w:themeColor="text1"/>
          <w:sz w:val="32"/>
          <w:szCs w:val="32"/>
          <w:u w:val="none"/>
        </w:rPr>
      </w:r>
      <w:r/>
    </w:p>
    <w:p>
      <w:pPr>
        <w:ind w:firstLine="643"/>
        <w:jc w:val="left"/>
        <w:spacing w:line="360" w:lineRule="auto"/>
        <w:rPr>
          <w:rFonts w:ascii="宋体" w:hAnsi="宋体"/>
          <w:b/>
          <w:color w:val="000000" w:themeColor="text1"/>
          <w:sz w:val="32"/>
          <w:szCs w:val="32"/>
          <w:u w:val="none"/>
        </w:rPr>
      </w:pPr>
      <w:r>
        <w:rPr>
          <w:rFonts w:hint="eastAsia" w:ascii="宋体" w:hAnsi="宋体"/>
          <w:b/>
          <w:color w:val="000000" w:themeColor="text1"/>
          <w:sz w:val="32"/>
          <w:szCs w:val="32"/>
          <w:u w:val="none"/>
        </w:rPr>
        <w:t xml:space="preserve">附：法定代表人居民身份证复印件</w:t>
      </w:r>
      <w:r/>
    </w:p>
    <w:p>
      <w:pPr>
        <w:ind w:firstLine="560"/>
        <w:spacing w:line="360" w:lineRule="auto"/>
        <w:tabs>
          <w:tab w:val="left" w:pos="7290" w:leader="none"/>
        </w:tabs>
        <w:rPr>
          <w:rFonts w:ascii="宋体" w:hAnsi="宋体"/>
          <w:color w:val="000000" w:themeColor="text1"/>
          <w:sz w:val="28"/>
          <w:u w:val="none"/>
        </w:rPr>
      </w:pPr>
      <w:r>
        <w:rPr>
          <w:rFonts w:hint="eastAsia" w:ascii="宋体" w:hAnsi="宋体"/>
          <w:color w:val="000000" w:themeColor="text1"/>
          <w:sz w:val="28"/>
          <w:u w:val="none"/>
        </w:rPr>
        <w:t xml:space="preserve">注：1.“法定代表人”直接参加投标响应活动的仅需填写本身份证明。</w:t>
      </w:r>
      <w:r/>
    </w:p>
    <w:p>
      <w:pPr>
        <w:ind w:firstLine="562"/>
        <w:spacing w:line="360" w:lineRule="auto"/>
        <w:tabs>
          <w:tab w:val="left" w:pos="7290" w:leader="none"/>
        </w:tabs>
        <w:rPr>
          <w:rFonts w:ascii="宋体" w:hAnsi="宋体"/>
          <w:b/>
          <w:color w:val="000000" w:themeColor="text1"/>
          <w:sz w:val="28"/>
          <w:szCs w:val="28"/>
          <w:u w:val="none"/>
        </w:rPr>
      </w:pPr>
      <w:r>
        <w:rPr>
          <w:rFonts w:hint="eastAsia" w:ascii="宋体" w:hAnsi="宋体"/>
          <w:b/>
          <w:color w:val="000000" w:themeColor="text1"/>
          <w:sz w:val="28"/>
          <w:szCs w:val="28"/>
          <w:u w:val="none"/>
        </w:rPr>
        <w:t xml:space="preserve">2.投标人</w:t>
      </w:r>
      <w:r>
        <w:rPr>
          <w:rFonts w:ascii="宋体" w:hAnsi="宋体"/>
          <w:b/>
          <w:color w:val="000000" w:themeColor="text1"/>
          <w:sz w:val="28"/>
          <w:szCs w:val="28"/>
          <w:u w:val="none"/>
        </w:rPr>
        <w:t xml:space="preserve">属于非法人组织的，按照法律、行政法规规定能够对外代表其从事民事活动的主要负责人，视同法定代表人。</w:t>
      </w:r>
      <w:r/>
    </w:p>
    <w:p>
      <w:pPr>
        <w:pStyle w:val="770"/>
        <w:ind w:firstLine="643"/>
        <w:jc w:val="center"/>
        <w:keepLines w:val="0"/>
        <w:keepNext w:val="0"/>
        <w:spacing w:before="0" w:after="0" w:line="360" w:lineRule="auto"/>
        <w:rPr>
          <w:rFonts w:ascii="宋体" w:hAnsi="宋体"/>
          <w:b w:val="0"/>
          <w:color w:val="000000" w:themeColor="text1"/>
          <w:sz w:val="15"/>
          <w:szCs w:val="15"/>
          <w:u w:val="none"/>
          <w:lang w:eastAsia="zh-CN"/>
        </w:rPr>
      </w:pPr>
      <w:r>
        <w:rPr>
          <w:color w:val="000000"/>
          <w:u w:val="none"/>
        </w:rPr>
        <w:br w:type="page" w:clear="all"/>
      </w:r>
      <w:r>
        <w:rPr>
          <w:rFonts w:hint="eastAsia" w:ascii="宋体" w:hAnsi="宋体"/>
          <w:b/>
          <w:bCs/>
          <w:color w:val="000000" w:themeColor="text1"/>
          <w:u w:val="none"/>
          <w:lang w:eastAsia="zh-CN"/>
        </w:rPr>
        <w:t xml:space="preserve">三、法定代表人授权委托书</w:t>
      </w:r>
      <w:r/>
    </w:p>
    <w:p>
      <w:pPr>
        <w:pStyle w:val="1047"/>
        <w:ind w:right="420"/>
        <w:spacing w:line="360" w:lineRule="auto"/>
        <w:rPr>
          <w:rFonts w:ascii="宋体" w:hAnsi="宋体"/>
          <w:color w:val="000000"/>
          <w:sz w:val="28"/>
          <w:u w:val="none"/>
        </w:rPr>
      </w:pPr>
      <w:r>
        <w:rPr>
          <w:rFonts w:ascii="宋体" w:hAnsi="宋体"/>
          <w:color w:val="000000"/>
          <w:sz w:val="28"/>
          <w:u w:val="none"/>
        </w:rPr>
      </w:r>
      <w:r/>
    </w:p>
    <w:p>
      <w:pPr>
        <w:pStyle w:val="1047"/>
        <w:ind w:right="420" w:firstLine="560"/>
        <w:spacing w:line="360" w:lineRule="auto"/>
        <w:rPr>
          <w:rFonts w:ascii="宋体" w:hAnsi="宋体"/>
          <w:color w:val="000000"/>
          <w:sz w:val="28"/>
          <w:u w:val="none"/>
        </w:rPr>
      </w:pPr>
      <w:r>
        <w:rPr>
          <w:rFonts w:hint="eastAsia" w:ascii="宋体" w:hAnsi="宋体"/>
          <w:color w:val="000000"/>
          <w:sz w:val="28"/>
          <w:u w:val="none"/>
        </w:rPr>
        <w:t xml:space="preserve">本授权书声明： （供应商名称） 法定代表人（负责人） （姓名） 授权（委托代理人的姓名、职务）为我方就××××（代理机构）代理的××××（项目编号、项目名称）</w:t>
      </w:r>
      <w:r>
        <w:rPr>
          <w:rFonts w:hint="eastAsia" w:ascii="宋体" w:hAnsi="宋体"/>
          <w:bCs/>
          <w:color w:val="000000"/>
          <w:sz w:val="28"/>
          <w:u w:val="none"/>
        </w:rPr>
        <w:t xml:space="preserve">项目</w:t>
      </w:r>
      <w:r>
        <w:rPr>
          <w:rFonts w:hint="eastAsia" w:ascii="宋体" w:hAnsi="宋体"/>
          <w:color w:val="000000"/>
          <w:sz w:val="28"/>
          <w:u w:val="none"/>
        </w:rPr>
        <w:t xml:space="preserve">的磋商活动的合法代理人，以本单位名义全权处理一切与该项目磋商有关的事务（含合同签订）。</w:t>
      </w:r>
      <w:r/>
    </w:p>
    <w:p>
      <w:pPr>
        <w:pStyle w:val="1047"/>
        <w:ind w:firstLine="560"/>
        <w:spacing w:line="360" w:lineRule="auto"/>
        <w:tabs>
          <w:tab w:val="left" w:pos="5560" w:leader="none"/>
        </w:tabs>
        <w:rPr>
          <w:rFonts w:ascii="宋体" w:hAnsi="宋体"/>
          <w:color w:val="000000"/>
          <w:sz w:val="28"/>
          <w:u w:val="none"/>
        </w:rPr>
      </w:pPr>
      <w:r>
        <w:rPr>
          <w:rFonts w:hint="eastAsia" w:ascii="宋体" w:hAnsi="宋体"/>
          <w:color w:val="000000"/>
          <w:sz w:val="28"/>
          <w:u w:val="none"/>
        </w:rPr>
        <w:tab/>
      </w:r>
      <w:r/>
    </w:p>
    <w:p>
      <w:pPr>
        <w:pStyle w:val="1046"/>
        <w:rPr>
          <w:color w:val="000000"/>
          <w:u w:val="none"/>
          <w:lang w:eastAsia="zh-CN"/>
        </w:rPr>
      </w:pPr>
      <w:r>
        <w:rPr>
          <w:rFonts w:hint="eastAsia" w:ascii="宋体" w:hAnsi="宋体"/>
          <w:color w:val="000000"/>
          <w:sz w:val="28"/>
          <w:u w:val="none"/>
          <w:lang w:eastAsia="zh-CN"/>
        </w:rPr>
        <w:t xml:space="preserve">本授权委托书于  年  月  日在</w:t>
      </w:r>
      <w:r>
        <w:rPr>
          <w:rFonts w:ascii="宋体" w:hAnsi="宋体"/>
          <w:color w:val="000000"/>
          <w:sz w:val="28"/>
          <w:u w:val="none"/>
          <w:lang w:eastAsia="zh-CN"/>
        </w:rPr>
        <w:t xml:space="preserve">相应位置</w:t>
      </w:r>
      <w:r>
        <w:rPr>
          <w:rFonts w:hint="eastAsia" w:ascii="宋体" w:hAnsi="宋体"/>
          <w:color w:val="000000"/>
          <w:sz w:val="28"/>
          <w:u w:val="none"/>
          <w:lang w:eastAsia="zh-CN"/>
        </w:rPr>
        <w:t xml:space="preserve">签字或盖章</w:t>
      </w:r>
      <w:r>
        <w:rPr>
          <w:rFonts w:ascii="宋体" w:hAnsi="宋体"/>
          <w:color w:val="000000"/>
          <w:sz w:val="28"/>
          <w:u w:val="none"/>
          <w:lang w:eastAsia="zh-CN"/>
        </w:rPr>
        <w:t xml:space="preserve">后生效</w:t>
      </w:r>
      <w:r>
        <w:rPr>
          <w:rFonts w:hint="eastAsia" w:ascii="宋体" w:hAnsi="宋体"/>
          <w:color w:val="000000"/>
          <w:sz w:val="28"/>
          <w:u w:val="none"/>
          <w:lang w:eastAsia="zh-CN"/>
        </w:rPr>
        <w:t xml:space="preserve">，特此声明。</w:t>
      </w:r>
      <w:r/>
    </w:p>
    <w:p>
      <w:pPr>
        <w:pStyle w:val="1047"/>
        <w:ind w:firstLine="560"/>
        <w:spacing w:line="360" w:lineRule="auto"/>
        <w:rPr>
          <w:rFonts w:ascii="宋体" w:hAnsi="宋体"/>
          <w:color w:val="000000"/>
          <w:sz w:val="28"/>
          <w:u w:val="none"/>
        </w:rPr>
      </w:pPr>
      <w:r>
        <w:rPr>
          <w:rFonts w:hint="eastAsia" w:ascii="宋体" w:hAnsi="宋体"/>
          <w:color w:val="000000"/>
          <w:sz w:val="28"/>
          <w:u w:val="none"/>
        </w:rPr>
        <w:t xml:space="preserve">委托代理人身份证号码：</w:t>
      </w:r>
      <w:r>
        <w:rPr>
          <w:rFonts w:hint="eastAsia" w:ascii="宋体" w:hAnsi="宋体"/>
          <w:color w:val="000000"/>
          <w:sz w:val="24"/>
          <w:szCs w:val="24"/>
          <w:u w:val="none"/>
        </w:rPr>
        <w:t xml:space="preserve">                              </w:t>
      </w:r>
      <w:r/>
    </w:p>
    <w:p>
      <w:pPr>
        <w:pStyle w:val="1047"/>
        <w:ind w:firstLine="560"/>
        <w:spacing w:line="360" w:lineRule="auto"/>
        <w:rPr>
          <w:rFonts w:ascii="宋体" w:hAnsi="宋体"/>
          <w:color w:val="000000"/>
          <w:sz w:val="28"/>
          <w:u w:val="none"/>
        </w:rPr>
      </w:pPr>
      <w:r>
        <w:rPr>
          <w:rFonts w:hint="eastAsia" w:ascii="宋体" w:hAnsi="宋体"/>
          <w:color w:val="000000"/>
          <w:sz w:val="28"/>
          <w:u w:val="none"/>
        </w:rPr>
        <w:t xml:space="preserve">委托代理人联系电话：（手机）</w:t>
      </w:r>
      <w:r>
        <w:rPr>
          <w:rFonts w:hint="eastAsia" w:ascii="宋体" w:hAnsi="宋体"/>
          <w:color w:val="000000"/>
          <w:sz w:val="24"/>
          <w:szCs w:val="24"/>
          <w:u w:val="none"/>
        </w:rPr>
        <w:t xml:space="preserve">                       </w:t>
      </w:r>
      <w:r/>
    </w:p>
    <w:p>
      <w:pPr>
        <w:pStyle w:val="1047"/>
        <w:ind w:firstLine="560"/>
        <w:spacing w:line="360" w:lineRule="auto"/>
        <w:rPr>
          <w:rFonts w:ascii="宋体" w:hAnsi="宋体"/>
          <w:color w:val="000000"/>
          <w:sz w:val="28"/>
          <w:u w:val="none"/>
        </w:rPr>
      </w:pPr>
      <w:r>
        <w:rPr>
          <w:rFonts w:hint="eastAsia" w:ascii="宋体" w:hAnsi="宋体"/>
          <w:color w:val="000000"/>
          <w:sz w:val="28"/>
          <w:u w:val="none"/>
        </w:rPr>
        <w:t xml:space="preserve">法定代表人（负责人）签章</w:t>
      </w:r>
      <w:r>
        <w:rPr>
          <w:rFonts w:hint="eastAsia" w:ascii="宋体" w:hAnsi="宋体"/>
          <w:color w:val="000000"/>
          <w:sz w:val="24"/>
          <w:szCs w:val="24"/>
          <w:u w:val="none"/>
        </w:rPr>
        <w:t xml:space="preserve">：                          </w:t>
      </w:r>
      <w:r>
        <w:rPr>
          <w:rFonts w:hint="eastAsia" w:ascii="宋体" w:hAnsi="宋体"/>
          <w:color w:val="000000"/>
          <w:sz w:val="28"/>
          <w:u w:val="none"/>
        </w:rPr>
        <w:t xml:space="preserve">    </w:t>
      </w:r>
      <w:r/>
    </w:p>
    <w:p>
      <w:pPr>
        <w:pStyle w:val="1047"/>
        <w:spacing w:line="360" w:lineRule="auto"/>
        <w:rPr>
          <w:rFonts w:ascii="宋体" w:hAnsi="宋体"/>
          <w:color w:val="000000"/>
          <w:sz w:val="28"/>
          <w:u w:val="none"/>
        </w:rPr>
      </w:pPr>
      <w:r>
        <w:rPr>
          <w:rFonts w:ascii="宋体" w:hAnsi="宋体"/>
          <w:color w:val="000000"/>
          <w:sz w:val="28"/>
          <w:u w:val="none"/>
        </w:rPr>
      </w:r>
      <w:r/>
    </w:p>
    <w:p>
      <w:pPr>
        <w:pStyle w:val="1047"/>
        <w:ind w:firstLine="560"/>
        <w:spacing w:line="360" w:lineRule="auto"/>
        <w:rPr>
          <w:rFonts w:ascii="宋体" w:hAnsi="宋体"/>
          <w:color w:val="000000"/>
          <w:sz w:val="28"/>
          <w:u w:val="none"/>
        </w:rPr>
      </w:pPr>
      <w:r>
        <w:rPr>
          <w:rFonts w:hint="eastAsia" w:ascii="宋体" w:hAnsi="宋体"/>
          <w:color w:val="000000"/>
          <w:sz w:val="28"/>
          <w:u w:val="none"/>
        </w:rPr>
        <w:t xml:space="preserve">供应商名称（公章）：</w:t>
      </w:r>
      <w:r/>
    </w:p>
    <w:p>
      <w:pPr>
        <w:pStyle w:val="1047"/>
        <w:ind w:firstLine="560"/>
        <w:spacing w:line="360" w:lineRule="auto"/>
        <w:rPr>
          <w:rFonts w:ascii="宋体" w:hAnsi="宋体"/>
          <w:b/>
          <w:color w:val="000000"/>
          <w:sz w:val="32"/>
          <w:szCs w:val="32"/>
          <w:u w:val="none"/>
        </w:rPr>
      </w:pPr>
      <w:r>
        <w:rPr>
          <w:rFonts w:hint="eastAsia" w:ascii="宋体" w:hAnsi="宋体"/>
          <w:color w:val="000000"/>
          <w:sz w:val="28"/>
          <w:u w:val="none"/>
        </w:rPr>
        <w:t xml:space="preserve">日     期：</w:t>
      </w:r>
      <w:r/>
    </w:p>
    <w:p>
      <w:pPr>
        <w:pStyle w:val="1047"/>
        <w:ind w:firstLine="643"/>
        <w:spacing w:line="360" w:lineRule="auto"/>
        <w:rPr>
          <w:rFonts w:ascii="宋体" w:hAnsi="宋体"/>
          <w:b/>
          <w:color w:val="000000"/>
          <w:sz w:val="32"/>
          <w:szCs w:val="32"/>
          <w:u w:val="none"/>
        </w:rPr>
      </w:pPr>
      <w:r>
        <w:rPr>
          <w:rFonts w:hint="eastAsia" w:ascii="宋体" w:hAnsi="宋体"/>
          <w:b/>
          <w:color w:val="000000"/>
          <w:sz w:val="32"/>
          <w:szCs w:val="32"/>
          <w:u w:val="none"/>
        </w:rPr>
        <w:t xml:space="preserve">附：委托代理人居民身份证扫描件</w:t>
      </w:r>
      <w:r/>
    </w:p>
    <w:p>
      <w:pPr>
        <w:pStyle w:val="1112"/>
        <w:ind w:firstLine="560"/>
        <w:jc w:val="left"/>
        <w:spacing w:line="360" w:lineRule="auto"/>
        <w:tabs>
          <w:tab w:val="left" w:pos="7290" w:leader="none"/>
        </w:tabs>
        <w:rPr>
          <w:color w:val="000000"/>
          <w:u w:val="none"/>
        </w:rPr>
      </w:pPr>
      <w:r>
        <w:rPr>
          <w:rFonts w:hint="eastAsia" w:ascii="宋体" w:hAnsi="宋体"/>
          <w:color w:val="000000"/>
          <w:sz w:val="28"/>
          <w:u w:val="none"/>
        </w:rPr>
        <w:t xml:space="preserve">注：“法定代表人（负责人）”授权委托其他人（必须为供应商正式员工，证明材料：社保交纳材料附后）</w:t>
      </w:r>
      <w:r>
        <w:rPr>
          <w:rFonts w:ascii="宋体" w:hAnsi="宋体"/>
          <w:color w:val="000000"/>
          <w:sz w:val="28"/>
          <w:u w:val="none"/>
        </w:rPr>
        <w:t xml:space="preserve">磋商</w:t>
      </w:r>
      <w:r>
        <w:rPr>
          <w:rFonts w:hint="eastAsia" w:ascii="宋体" w:hAnsi="宋体"/>
          <w:color w:val="000000"/>
          <w:sz w:val="28"/>
          <w:u w:val="none"/>
        </w:rPr>
        <w:t xml:space="preserve">的，须填写法定代表人身份证明书和本授权委托书。</w:t>
      </w:r>
      <w:bookmarkStart w:id="420" w:name="_Toc256000078"/>
      <w:r/>
      <w:r/>
    </w:p>
    <w:p>
      <w:pPr>
        <w:pStyle w:val="1112"/>
        <w:ind w:firstLine="420"/>
        <w:jc w:val="left"/>
        <w:spacing w:line="360" w:lineRule="auto"/>
        <w:tabs>
          <w:tab w:val="left" w:pos="7290" w:leader="none"/>
        </w:tabs>
        <w:rPr>
          <w:color w:val="000000"/>
          <w:u w:val="none"/>
        </w:rPr>
      </w:pPr>
      <w:r>
        <w:rPr>
          <w:color w:val="000000"/>
          <w:u w:val="none"/>
        </w:rPr>
      </w:r>
      <w:r/>
    </w:p>
    <w:p>
      <w:pPr>
        <w:pStyle w:val="1112"/>
        <w:ind w:firstLine="420"/>
        <w:jc w:val="left"/>
        <w:spacing w:line="360" w:lineRule="auto"/>
        <w:tabs>
          <w:tab w:val="left" w:pos="7290" w:leader="none"/>
        </w:tabs>
        <w:rPr>
          <w:color w:val="000000"/>
          <w:u w:val="none"/>
        </w:rPr>
      </w:pPr>
      <w:r>
        <w:rPr>
          <w:color w:val="000000"/>
          <w:u w:val="none"/>
        </w:rPr>
      </w:r>
      <w:r/>
    </w:p>
    <w:p>
      <w:pPr>
        <w:rPr>
          <w:rFonts w:hint="eastAsia" w:ascii="宋体" w:hAnsi="宋体" w:eastAsia="宋体"/>
          <w:color w:val="000000" w:themeColor="text1"/>
          <w:szCs w:val="44"/>
          <w:u w:val="none"/>
        </w:rPr>
      </w:pPr>
      <w:r>
        <w:rPr>
          <w:rFonts w:hint="eastAsia" w:ascii="宋体" w:hAnsi="宋体" w:eastAsia="宋体"/>
          <w:color w:val="000000" w:themeColor="text1"/>
          <w:szCs w:val="44"/>
          <w:u w:val="none"/>
        </w:rPr>
        <w:br w:type="page" w:clear="all"/>
      </w:r>
      <w:r/>
    </w:p>
    <w:p>
      <w:pPr>
        <w:pStyle w:val="769"/>
        <w:ind w:firstLine="883"/>
        <w:jc w:val="center"/>
        <w:spacing w:line="360" w:lineRule="auto"/>
        <w:rPr>
          <w:rFonts w:ascii="宋体" w:hAnsi="宋体" w:eastAsia="宋体"/>
          <w:b/>
          <w:bCs/>
          <w:color w:val="000000" w:themeColor="text1"/>
          <w:szCs w:val="44"/>
          <w:u w:val="none"/>
        </w:rPr>
      </w:pPr>
      <w:r>
        <w:rPr>
          <w:rFonts w:hint="eastAsia" w:ascii="宋体" w:hAnsi="宋体" w:eastAsia="宋体"/>
          <w:b/>
          <w:bCs/>
          <w:color w:val="000000" w:themeColor="text1"/>
          <w:szCs w:val="44"/>
          <w:u w:val="none"/>
        </w:rPr>
        <w:t xml:space="preserve">四、价格部分</w:t>
      </w:r>
      <w:r/>
    </w:p>
    <w:p>
      <w:pPr>
        <w:pStyle w:val="769"/>
        <w:ind w:firstLine="883"/>
        <w:spacing w:line="360" w:lineRule="auto"/>
        <w:rPr>
          <w:rFonts w:ascii="宋体" w:hAnsi="宋体" w:eastAsia="宋体"/>
          <w:color w:val="000000" w:themeColor="text1"/>
          <w:szCs w:val="44"/>
          <w:u w:val="none"/>
        </w:rPr>
      </w:pPr>
      <w:r>
        <w:rPr>
          <w:rFonts w:hint="eastAsia" w:ascii="宋体" w:hAnsi="宋体" w:eastAsia="宋体"/>
          <w:color w:val="000000" w:themeColor="text1"/>
          <w:szCs w:val="44"/>
          <w:u w:val="none"/>
        </w:rPr>
        <w:t xml:space="preserve">开标一览表</w:t>
      </w:r>
      <w:r/>
    </w:p>
    <w:tbl>
      <w:tblPr>
        <w:tblStyle w:val="778"/>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126"/>
        <w:gridCol w:w="6160"/>
      </w:tblGrid>
      <w:tr>
        <w:trPr>
          <w:trHeight w:val="46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val="false"/>
          </w:tcPr>
          <w:p>
            <w:pPr>
              <w:ind w:firstLine="640"/>
              <w:spacing w:line="360" w:lineRule="auto"/>
              <w:widowControl/>
              <w:rPr>
                <w:rFonts w:ascii="宋体" w:hAnsi="宋体" w:cs="宋体"/>
                <w:color w:val="000000" w:themeColor="text1"/>
                <w:sz w:val="32"/>
                <w:szCs w:val="32"/>
                <w:u w:val="none"/>
              </w:rPr>
            </w:pPr>
            <w:r>
              <w:rPr>
                <w:rFonts w:hint="eastAsia" w:ascii="宋体" w:hAnsi="宋体" w:cs="宋体"/>
                <w:color w:val="000000" w:themeColor="text1"/>
                <w:sz w:val="32"/>
                <w:szCs w:val="32"/>
                <w:u w:val="none"/>
              </w:rPr>
              <w:t xml:space="preserve">单位名称（公章）：</w:t>
            </w:r>
            <w:r>
              <w:rPr>
                <w:rFonts w:hint="eastAsia" w:ascii="宋体" w:hAnsi="宋体"/>
                <w:b/>
                <w:color w:val="000000" w:themeColor="text1"/>
                <w:sz w:val="24"/>
                <w:u w:val="non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ascii="宋体" w:hAnsi="宋体" w:cs="宋体"/>
                <w:color w:val="000000" w:themeColor="text1"/>
                <w:sz w:val="36"/>
                <w:szCs w:val="36"/>
                <w:u w:val="none"/>
                <w:lang w:eastAsia="en-US"/>
              </w:rPr>
            </w:pPr>
            <w:r>
              <w:rPr>
                <w:rFonts w:hint="eastAsia" w:ascii="宋体" w:hAnsi="宋体" w:cs="宋体"/>
                <w:color w:val="000000" w:themeColor="text1"/>
                <w:sz w:val="36"/>
                <w:szCs w:val="36"/>
                <w:u w:val="none"/>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000000" w:themeColor="text1"/>
                <w:sz w:val="36"/>
                <w:szCs w:val="36"/>
                <w:u w:val="none"/>
              </w:rPr>
            </w:pPr>
            <w:r>
              <w:rPr>
                <w:rFonts w:hint="eastAsia" w:ascii="宋体" w:hAnsi="宋体" w:cs="宋体"/>
                <w:color w:val="000000" w:themeColor="text1"/>
                <w:sz w:val="36"/>
                <w:szCs w:val="36"/>
                <w:u w:val="none"/>
              </w:rPr>
              <w:t xml:space="preserve">金额（大写）：</w:t>
            </w:r>
            <w:r>
              <w:rPr>
                <w:rFonts w:hint="eastAsia" w:ascii="宋体" w:hAnsi="宋体"/>
                <w:b/>
                <w:color w:val="000000" w:themeColor="text1"/>
                <w:szCs w:val="21"/>
                <w:u w:val="none"/>
              </w:rPr>
              <w:t xml:space="preserve">××××</w:t>
            </w:r>
            <w:r>
              <w:rPr>
                <w:rFonts w:hint="eastAsia" w:ascii="宋体" w:hAnsi="宋体" w:cs="宋体"/>
                <w:color w:val="000000" w:themeColor="text1"/>
                <w:sz w:val="36"/>
                <w:szCs w:val="36"/>
                <w:u w:val="none"/>
              </w:rPr>
              <w:t xml:space="preserve">元人民币</w:t>
            </w:r>
            <w:r/>
          </w:p>
          <w:p>
            <w:pPr>
              <w:ind w:firstLine="880"/>
              <w:jc w:val="center"/>
              <w:spacing w:line="360" w:lineRule="auto"/>
              <w:tabs>
                <w:tab w:val="left" w:pos="2185" w:leader="none"/>
              </w:tabs>
              <w:rPr>
                <w:rFonts w:ascii="宋体" w:hAnsi="宋体" w:cs="宋体"/>
                <w:color w:val="000000" w:themeColor="text1"/>
                <w:sz w:val="36"/>
                <w:szCs w:val="36"/>
                <w:u w:val="none"/>
                <w:lang w:eastAsia="en-US"/>
              </w:rPr>
            </w:pPr>
            <w:r>
              <w:rPr>
                <w:rFonts w:hint="eastAsia" w:ascii="宋体" w:hAnsi="宋体" w:cs="宋体"/>
                <w:color w:val="000000" w:themeColor="text1"/>
                <w:sz w:val="36"/>
                <w:szCs w:val="36"/>
                <w:u w:val="none"/>
                <w:lang w:eastAsia="en-US"/>
              </w:rPr>
              <w:t xml:space="preserve">¥：</w:t>
            </w:r>
            <w:r>
              <w:rPr>
                <w:rFonts w:hint="eastAsia" w:ascii="宋体" w:hAnsi="宋体"/>
                <w:b/>
                <w:color w:val="000000" w:themeColor="text1"/>
                <w:szCs w:val="21"/>
                <w:u w:val="none"/>
                <w:lang w:eastAsia="en-US"/>
              </w:rPr>
              <w:t xml:space="preserve">××××××××</w:t>
            </w:r>
            <w:r>
              <w:rPr>
                <w:rFonts w:hint="eastAsia" w:ascii="宋体" w:hAnsi="宋体" w:cs="宋体"/>
                <w:color w:val="000000" w:themeColor="text1"/>
                <w:sz w:val="36"/>
                <w:szCs w:val="36"/>
                <w:u w:val="none"/>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ascii="宋体" w:hAnsi="宋体" w:cs="宋体"/>
                <w:color w:val="000000" w:themeColor="text1"/>
                <w:sz w:val="36"/>
                <w:szCs w:val="36"/>
                <w:u w:val="none"/>
                <w:lang w:eastAsia="en-US"/>
              </w:rPr>
            </w:pPr>
            <w:r>
              <w:rPr>
                <w:rFonts w:hint="eastAsia" w:ascii="宋体" w:hAnsi="宋体" w:cs="宋体"/>
                <w:color w:val="000000" w:themeColor="text1"/>
                <w:sz w:val="36"/>
                <w:szCs w:val="36"/>
                <w:u w:val="none"/>
                <w:lang w:eastAsia="en-US"/>
              </w:rPr>
              <w:t xml:space="preserve">项目工期</w:t>
            </w:r>
            <w:r/>
          </w:p>
        </w:tc>
        <w:tc>
          <w:tcPr>
            <w:tcBorders>
              <w:top w:val="non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000000" w:themeColor="text1"/>
                <w:sz w:val="36"/>
                <w:szCs w:val="36"/>
                <w:u w:val="none"/>
                <w:lang w:eastAsia="en-US"/>
              </w:rPr>
            </w:pPr>
            <w:r>
              <w:rPr>
                <w:rFonts w:ascii="宋体" w:hAnsi="宋体" w:cs="宋体"/>
                <w:color w:val="000000" w:themeColor="text1"/>
                <w:sz w:val="36"/>
                <w:szCs w:val="36"/>
                <w:u w:val="none"/>
                <w:lang w:eastAsia="en-US"/>
              </w:rPr>
            </w:r>
            <w:r/>
          </w:p>
        </w:tc>
      </w:tr>
    </w:tbl>
    <w:p>
      <w:pPr>
        <w:pStyle w:val="804"/>
        <w:ind w:firstLine="482"/>
        <w:spacing w:line="360" w:lineRule="auto"/>
        <w:rPr>
          <w:rFonts w:ascii="宋体" w:hAnsi="宋体" w:eastAsia="宋体"/>
          <w:b/>
          <w:color w:val="000000" w:themeColor="text1"/>
          <w:sz w:val="24"/>
          <w:u w:val="none"/>
        </w:rPr>
      </w:pPr>
      <w:r>
        <w:rPr>
          <w:rFonts w:ascii="宋体" w:hAnsi="宋体" w:eastAsia="宋体"/>
          <w:b/>
          <w:color w:val="000000" w:themeColor="text1"/>
          <w:sz w:val="24"/>
          <w:u w:val="none"/>
        </w:rPr>
      </w:r>
      <w:r/>
    </w:p>
    <w:p>
      <w:pPr>
        <w:pStyle w:val="804"/>
        <w:ind w:firstLine="482"/>
        <w:spacing w:line="360" w:lineRule="auto"/>
        <w:rPr>
          <w:rFonts w:ascii="宋体" w:hAnsi="宋体" w:eastAsia="宋体"/>
          <w:color w:val="000000" w:themeColor="text1"/>
          <w:sz w:val="24"/>
          <w:u w:val="none"/>
        </w:rPr>
      </w:pPr>
      <w:r>
        <w:rPr>
          <w:rFonts w:hint="eastAsia" w:ascii="宋体" w:hAnsi="宋体" w:eastAsia="宋体"/>
          <w:b/>
          <w:color w:val="000000" w:themeColor="text1"/>
          <w:sz w:val="24"/>
          <w:u w:val="none"/>
        </w:rPr>
        <w:t xml:space="preserve">注： </w:t>
      </w:r>
      <w:r>
        <w:rPr>
          <w:rFonts w:hint="eastAsia" w:ascii="宋体" w:hAnsi="宋体" w:eastAsia="宋体"/>
          <w:color w:val="000000" w:themeColor="text1"/>
          <w:sz w:val="24"/>
          <w:u w:val="none"/>
        </w:rPr>
        <w:t xml:space="preserve">1.“项目总报价”包括本次招标要求提供的货物（服务）已支付或将支付的所有费用；</w:t>
      </w:r>
      <w:r/>
    </w:p>
    <w:p>
      <w:pPr>
        <w:pStyle w:val="804"/>
        <w:ind w:firstLine="480"/>
        <w:spacing w:line="360" w:lineRule="auto"/>
        <w:rPr>
          <w:rFonts w:ascii="宋体" w:hAnsi="宋体" w:eastAsia="宋体"/>
          <w:bCs/>
          <w:color w:val="000000" w:themeColor="text1"/>
          <w:sz w:val="24"/>
          <w:u w:val="none"/>
        </w:rPr>
      </w:pPr>
      <w:r>
        <w:rPr>
          <w:rFonts w:hint="eastAsia" w:ascii="宋体" w:hAnsi="宋体" w:eastAsia="宋体"/>
          <w:bCs/>
          <w:color w:val="000000" w:themeColor="text1"/>
          <w:sz w:val="24"/>
          <w:u w:val="none"/>
        </w:rPr>
        <w:t xml:space="preserve">2.投标人必须据实填写此表，报价所含与招标文件要求的内容一致；</w:t>
      </w:r>
      <w:r/>
    </w:p>
    <w:p>
      <w:pPr>
        <w:pStyle w:val="804"/>
        <w:ind w:firstLine="480"/>
        <w:spacing w:line="360" w:lineRule="auto"/>
        <w:rPr>
          <w:rFonts w:ascii="宋体" w:hAnsi="宋体" w:eastAsia="宋体"/>
          <w:bCs/>
          <w:color w:val="000000" w:themeColor="text1"/>
          <w:sz w:val="24"/>
          <w:u w:val="none"/>
        </w:rPr>
      </w:pPr>
      <w:r>
        <w:rPr>
          <w:rFonts w:hint="eastAsia" w:ascii="宋体" w:hAnsi="宋体" w:eastAsia="宋体"/>
          <w:bCs/>
          <w:color w:val="000000" w:themeColor="text1"/>
          <w:sz w:val="24"/>
          <w:u w:val="none"/>
        </w:rPr>
        <w:t xml:space="preserve">3.报价保留至小数点后两位，四舍五入。</w:t>
      </w:r>
      <w:r/>
    </w:p>
    <w:p>
      <w:pPr>
        <w:pStyle w:val="804"/>
        <w:ind w:left="482" w:firstLine="560"/>
        <w:spacing w:line="360" w:lineRule="auto"/>
        <w:rPr>
          <w:rFonts w:ascii="宋体" w:hAnsi="宋体" w:eastAsia="宋体"/>
          <w:color w:val="000000" w:themeColor="text1"/>
          <w:u w:val="none"/>
        </w:rPr>
      </w:pPr>
      <w:r>
        <w:rPr>
          <w:rFonts w:ascii="宋体" w:hAnsi="宋体" w:eastAsia="宋体"/>
          <w:color w:val="000000" w:themeColor="text1"/>
          <w:u w:val="none"/>
        </w:rPr>
      </w:r>
      <w:r/>
    </w:p>
    <w:p>
      <w:pPr>
        <w:pStyle w:val="804"/>
        <w:ind w:left="482" w:firstLine="560"/>
        <w:spacing w:line="360" w:lineRule="auto"/>
        <w:rPr>
          <w:rFonts w:ascii="宋体" w:hAnsi="宋体" w:eastAsia="宋体"/>
          <w:color w:val="000000" w:themeColor="text1"/>
          <w:sz w:val="30"/>
          <w:u w:val="none"/>
        </w:rPr>
      </w:pPr>
      <w:r>
        <w:rPr>
          <w:rFonts w:hint="eastAsia" w:ascii="宋体" w:hAnsi="宋体" w:eastAsia="宋体"/>
          <w:color w:val="000000" w:themeColor="text1"/>
          <w:u w:val="none"/>
        </w:rPr>
        <w:t xml:space="preserve">法定代表人签字或盖章</w:t>
      </w:r>
      <w:r>
        <w:rPr>
          <w:rFonts w:hint="eastAsia" w:ascii="宋体" w:hAnsi="宋体" w:eastAsia="宋体"/>
          <w:color w:val="000000" w:themeColor="text1"/>
          <w:sz w:val="30"/>
          <w:u w:val="none"/>
        </w:rPr>
        <w:t xml:space="preserve">：</w:t>
      </w:r>
      <w:r>
        <w:rPr>
          <w:rFonts w:hint="eastAsia" w:ascii="宋体" w:hAnsi="宋体" w:eastAsia="宋体"/>
          <w:b/>
          <w:color w:val="000000" w:themeColor="text1"/>
          <w:sz w:val="24"/>
          <w:u w:val="none"/>
        </w:rPr>
        <w:t xml:space="preserve">××××</w:t>
      </w:r>
      <w:r/>
    </w:p>
    <w:p>
      <w:pPr>
        <w:pStyle w:val="804"/>
        <w:ind w:left="840" w:firstLine="560"/>
        <w:jc w:val="right"/>
        <w:spacing w:line="360" w:lineRule="auto"/>
        <w:rPr>
          <w:rFonts w:ascii="宋体" w:hAnsi="宋体" w:eastAsia="宋体"/>
          <w:color w:val="000000" w:themeColor="text1"/>
          <w:sz w:val="30"/>
          <w:u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olor w:val="000000" w:themeColor="text1"/>
          <w:u w:val="none"/>
        </w:rPr>
        <w:t xml:space="preserve">日期：</w:t>
      </w:r>
      <w:r>
        <w:rPr>
          <w:rFonts w:hint="eastAsia" w:ascii="宋体" w:hAnsi="宋体" w:eastAsia="宋体"/>
          <w:b/>
          <w:color w:val="000000" w:themeColor="text1"/>
          <w:sz w:val="24"/>
          <w:u w:val="none"/>
        </w:rPr>
        <w:t xml:space="preserve">××××</w:t>
      </w:r>
      <w:r>
        <w:rPr>
          <w:rFonts w:hint="eastAsia" w:ascii="宋体" w:hAnsi="宋体" w:eastAsia="宋体"/>
          <w:color w:val="000000" w:themeColor="text1"/>
          <w:u w:val="none"/>
        </w:rPr>
        <w:t xml:space="preserve">年</w:t>
      </w:r>
      <w:r>
        <w:rPr>
          <w:rFonts w:hint="eastAsia" w:ascii="宋体" w:hAnsi="宋体" w:eastAsia="宋体"/>
          <w:b/>
          <w:color w:val="000000" w:themeColor="text1"/>
          <w:sz w:val="24"/>
          <w:u w:val="none"/>
        </w:rPr>
        <w:t xml:space="preserve">××</w:t>
      </w:r>
      <w:r>
        <w:rPr>
          <w:rFonts w:hint="eastAsia" w:ascii="宋体" w:hAnsi="宋体" w:eastAsia="宋体"/>
          <w:color w:val="000000" w:themeColor="text1"/>
          <w:u w:val="none"/>
        </w:rPr>
        <w:t xml:space="preserve">月</w:t>
      </w:r>
      <w:r>
        <w:rPr>
          <w:rFonts w:hint="eastAsia" w:ascii="宋体" w:hAnsi="宋体" w:eastAsia="宋体"/>
          <w:b/>
          <w:color w:val="000000" w:themeColor="text1"/>
          <w:sz w:val="24"/>
          <w:u w:val="none"/>
        </w:rPr>
        <w:t xml:space="preserve">××</w:t>
      </w:r>
      <w:r>
        <w:rPr>
          <w:rFonts w:hint="eastAsia" w:ascii="宋体" w:hAnsi="宋体" w:eastAsia="宋体"/>
          <w:color w:val="000000" w:themeColor="text1"/>
          <w:u w:val="none"/>
        </w:rPr>
        <w:t xml:space="preserve">日</w:t>
      </w:r>
      <w:r/>
    </w:p>
    <w:p>
      <w:pPr>
        <w:pStyle w:val="769"/>
        <w:jc w:val="center"/>
        <w:keepLines w:val="0"/>
        <w:keepNext w:val="0"/>
        <w:spacing w:before="100" w:beforeAutospacing="1" w:after="0" w:line="360" w:lineRule="auto"/>
        <w:tabs>
          <w:tab w:val="left" w:pos="764" w:leader="none"/>
        </w:tabs>
        <w:rPr>
          <w:rFonts w:ascii="宋体" w:hAnsi="宋体" w:eastAsia="宋体"/>
          <w:b/>
          <w:bCs/>
          <w:color w:val="000000" w:themeColor="text1"/>
          <w:sz w:val="36"/>
          <w:szCs w:val="36"/>
          <w:u w:val="none"/>
        </w:rPr>
      </w:pPr>
      <w:r>
        <w:rPr>
          <w:rFonts w:hint="eastAsia" w:ascii="宋体" w:hAnsi="宋体" w:eastAsia="宋体"/>
          <w:b/>
          <w:bCs/>
          <w:color w:val="000000" w:themeColor="text1"/>
          <w:sz w:val="36"/>
          <w:szCs w:val="36"/>
          <w:u w:val="none"/>
        </w:rPr>
        <w:t xml:space="preserve">清单及明细报价表</w:t>
      </w:r>
      <w:r/>
    </w:p>
    <w:tbl>
      <w:tblPr>
        <w:tblStyle w:val="778"/>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ascii="宋体" w:hAnsi="宋体"/>
                <w:b/>
                <w:color w:val="000000" w:themeColor="text1"/>
                <w:sz w:val="24"/>
                <w:u w:val="none"/>
                <w:lang w:eastAsia="en-US"/>
              </w:rPr>
            </w:pPr>
            <w:r>
              <w:rPr>
                <w:rFonts w:hint="eastAsia" w:ascii="宋体" w:hAnsi="宋体"/>
                <w:b/>
                <w:color w:val="000000" w:themeColor="text1"/>
                <w:sz w:val="24"/>
                <w:u w:val="none"/>
                <w:lang w:eastAsia="en-US"/>
              </w:rPr>
              <w:t xml:space="preserve">一、货物部分</w:t>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b/>
                <w:color w:val="000000" w:themeColor="text1"/>
                <w:sz w:val="24"/>
                <w:u w:val="none"/>
                <w:lang w:eastAsia="en-US"/>
              </w:rPr>
            </w:pPr>
            <w:r>
              <w:rPr>
                <w:rFonts w:hint="eastAsia" w:ascii="宋体" w:hAnsi="宋体"/>
                <w:b/>
                <w:color w:val="000000" w:themeColor="text1"/>
                <w:sz w:val="24"/>
                <w:u w:val="none"/>
                <w:lang w:eastAsia="en-US"/>
              </w:rPr>
              <w:t xml:space="preserve">序号</w:t>
            </w:r>
            <w:r/>
          </w:p>
        </w:tc>
        <w:tc>
          <w:tcPr>
            <w:tcBorders>
              <w:left w:val="single" w:color="000000" w:sz="4" w:space="0"/>
              <w:right w:val="single" w:color="000000" w:sz="4" w:space="0"/>
            </w:tcBorders>
            <w:tcW w:w="1608" w:type="dxa"/>
            <w:vAlign w:val="center"/>
            <w:textDirection w:val="lrTb"/>
            <w:noWrap w:val="false"/>
          </w:tcPr>
          <w:p>
            <w:pPr>
              <w:jc w:val="center"/>
              <w:spacing w:line="360" w:lineRule="auto"/>
              <w:rPr>
                <w:rFonts w:ascii="宋体" w:hAnsi="宋体"/>
                <w:b/>
                <w:color w:val="000000" w:themeColor="text1"/>
                <w:sz w:val="24"/>
                <w:u w:val="none"/>
                <w:lang w:eastAsia="en-US"/>
              </w:rPr>
            </w:pPr>
            <w:r>
              <w:rPr>
                <w:rFonts w:hint="eastAsia" w:ascii="宋体" w:hAnsi="宋体"/>
                <w:b/>
                <w:color w:val="000000" w:themeColor="text1"/>
                <w:sz w:val="24"/>
                <w:u w:val="none"/>
                <w:lang w:eastAsia="en-US"/>
              </w:rPr>
              <w:t xml:space="preserve">标的名称</w:t>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b/>
                <w:color w:val="000000" w:themeColor="text1"/>
                <w:sz w:val="24"/>
                <w:u w:val="none"/>
                <w:lang w:eastAsia="en-US"/>
              </w:rPr>
            </w:pPr>
            <w:r>
              <w:rPr>
                <w:rFonts w:hint="eastAsia" w:ascii="宋体" w:hAnsi="宋体"/>
                <w:b/>
                <w:color w:val="000000" w:themeColor="text1"/>
                <w:sz w:val="24"/>
                <w:u w:val="none"/>
                <w:lang w:eastAsia="en-US"/>
              </w:rPr>
              <w:t xml:space="preserve">品牌型号</w:t>
            </w:r>
            <w:r/>
          </w:p>
        </w:tc>
        <w:tc>
          <w:tcPr>
            <w:gridSpan w:val="2"/>
            <w:tcBorders>
              <w:right w:val="single" w:color="000000" w:sz="4" w:space="0"/>
            </w:tcBorders>
            <w:tcW w:w="1693" w:type="dxa"/>
            <w:vAlign w:val="center"/>
            <w:textDirection w:val="lrTb"/>
            <w:noWrap w:val="false"/>
          </w:tcPr>
          <w:p>
            <w:pPr>
              <w:jc w:val="center"/>
              <w:spacing w:line="360" w:lineRule="auto"/>
              <w:rPr>
                <w:rFonts w:ascii="宋体" w:hAnsi="宋体"/>
                <w:b/>
                <w:color w:val="000000" w:themeColor="text1"/>
                <w:sz w:val="24"/>
                <w:u w:val="none"/>
                <w:lang w:eastAsia="en-US"/>
              </w:rPr>
            </w:pPr>
            <w:r>
              <w:rPr>
                <w:rFonts w:hint="eastAsia" w:ascii="宋体" w:hAnsi="宋体"/>
                <w:b/>
                <w:color w:val="000000" w:themeColor="text1"/>
                <w:sz w:val="24"/>
                <w:u w:val="none"/>
                <w:lang w:eastAsia="en-US"/>
              </w:rPr>
              <w:t xml:space="preserve">数量</w:t>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b/>
                <w:color w:val="000000" w:themeColor="text1"/>
                <w:sz w:val="24"/>
                <w:u w:val="none"/>
                <w:lang w:eastAsia="en-US"/>
              </w:rPr>
            </w:pPr>
            <w:r>
              <w:rPr>
                <w:rFonts w:hint="eastAsia" w:ascii="宋体" w:hAnsi="宋体"/>
                <w:b/>
                <w:color w:val="000000" w:themeColor="text1"/>
                <w:sz w:val="24"/>
                <w:u w:val="none"/>
                <w:lang w:eastAsia="en-US"/>
              </w:rPr>
              <w:t xml:space="preserve">单价（元）</w:t>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b/>
                <w:color w:val="000000" w:themeColor="text1"/>
                <w:sz w:val="24"/>
                <w:u w:val="none"/>
                <w:lang w:eastAsia="en-US"/>
              </w:rPr>
            </w:pPr>
            <w:r>
              <w:rPr>
                <w:rFonts w:hint="eastAsia" w:ascii="宋体" w:hAnsi="宋体"/>
                <w:b/>
                <w:color w:val="000000" w:themeColor="text1"/>
                <w:sz w:val="24"/>
                <w:u w:val="none"/>
                <w:lang w:eastAsia="en-US"/>
              </w:rPr>
              <w:t xml:space="preserve">合计（元）</w:t>
            </w:r>
            <w:r/>
          </w:p>
        </w:tc>
        <w:tc>
          <w:tcPr>
            <w:tcBorders>
              <w:left w:val="single" w:color="000000" w:sz="4" w:space="0"/>
            </w:tcBorders>
            <w:tcW w:w="1068" w:type="dxa"/>
            <w:vAlign w:val="center"/>
            <w:textDirection w:val="lrTb"/>
            <w:noWrap w:val="false"/>
          </w:tcPr>
          <w:p>
            <w:pPr>
              <w:jc w:val="center"/>
              <w:spacing w:line="360" w:lineRule="auto"/>
              <w:rPr>
                <w:rFonts w:ascii="宋体" w:hAnsi="宋体"/>
                <w:b/>
                <w:color w:val="000000" w:themeColor="text1"/>
                <w:sz w:val="24"/>
                <w:u w:val="none"/>
                <w:lang w:eastAsia="en-US"/>
              </w:rPr>
            </w:pPr>
            <w:r>
              <w:rPr>
                <w:rFonts w:hint="eastAsia" w:ascii="宋体" w:hAnsi="宋体"/>
                <w:b/>
                <w:color w:val="000000" w:themeColor="text1"/>
                <w:sz w:val="24"/>
                <w:u w:val="none"/>
                <w:lang w:eastAsia="en-US"/>
              </w:rPr>
              <w:t xml:space="preserve">免费质保期</w:t>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themeColor="text1"/>
                <w:sz w:val="24"/>
                <w:u w:val="none"/>
                <w:lang w:eastAsia="en-US"/>
              </w:rPr>
            </w:pPr>
            <w:r>
              <w:rPr>
                <w:rFonts w:hint="eastAsia" w:ascii="宋体" w:hAnsi="宋体"/>
                <w:color w:val="000000" w:themeColor="text1"/>
                <w:sz w:val="24"/>
                <w:u w:val="none"/>
                <w:lang w:eastAsia="en-US"/>
              </w:rPr>
              <w:t xml:space="preserve">1</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themeColor="text1"/>
                <w:sz w:val="24"/>
                <w:u w:val="none"/>
                <w:lang w:eastAsia="en-US"/>
              </w:rPr>
            </w:pPr>
            <w:r>
              <w:rPr>
                <w:rFonts w:ascii="宋体" w:hAnsi="宋体" w:cs="Calibri"/>
                <w:color w:val="000000" w:themeColor="text1"/>
                <w:sz w:val="24"/>
                <w:u w:val="none"/>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themeColor="text1"/>
                <w:sz w:val="24"/>
                <w:u w:val="none"/>
                <w:lang w:eastAsia="en-US"/>
              </w:rPr>
            </w:pPr>
            <w:r>
              <w:rPr>
                <w:rFonts w:ascii="宋体" w:hAnsi="宋体" w:cs="Calibri"/>
                <w:color w:val="000000" w:themeColor="text1"/>
                <w:sz w:val="24"/>
                <w:u w:val="none"/>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c>
          <w:tcPr>
            <w:tcBorders>
              <w:left w:val="single" w:color="000000" w:sz="4" w:space="0"/>
            </w:tcBorders>
            <w:tcW w:w="1068" w:type="dxa"/>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themeColor="text1"/>
                <w:sz w:val="24"/>
                <w:u w:val="none"/>
                <w:lang w:eastAsia="en-US"/>
              </w:rPr>
            </w:pPr>
            <w:r>
              <w:rPr>
                <w:rFonts w:hint="eastAsia" w:ascii="宋体" w:hAnsi="宋体"/>
                <w:color w:val="000000" w:themeColor="text1"/>
                <w:sz w:val="24"/>
                <w:u w:val="none"/>
                <w:lang w:eastAsia="en-US"/>
              </w:rPr>
              <w:t xml:space="preserve">2</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themeColor="text1"/>
                <w:sz w:val="24"/>
                <w:u w:val="none"/>
                <w:lang w:eastAsia="en-US"/>
              </w:rPr>
            </w:pPr>
            <w:r>
              <w:rPr>
                <w:rFonts w:ascii="宋体" w:hAnsi="宋体" w:cs="Calibri"/>
                <w:color w:val="000000" w:themeColor="text1"/>
                <w:sz w:val="24"/>
                <w:u w:val="none"/>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themeColor="text1"/>
                <w:sz w:val="24"/>
                <w:u w:val="none"/>
                <w:lang w:eastAsia="en-US"/>
              </w:rPr>
            </w:pPr>
            <w:r>
              <w:rPr>
                <w:rFonts w:ascii="宋体" w:hAnsi="宋体" w:cs="Calibri"/>
                <w:color w:val="000000" w:themeColor="text1"/>
                <w:sz w:val="24"/>
                <w:u w:val="none"/>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c>
          <w:tcPr>
            <w:tcBorders>
              <w:left w:val="single" w:color="000000" w:sz="4" w:space="0"/>
            </w:tcBorders>
            <w:tcW w:w="1068" w:type="dxa"/>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themeColor="text1"/>
                <w:sz w:val="24"/>
                <w:u w:val="none"/>
                <w:lang w:eastAsia="en-US"/>
              </w:rPr>
            </w:pPr>
            <w:r>
              <w:rPr>
                <w:rFonts w:hint="eastAsia" w:ascii="宋体" w:hAnsi="宋体"/>
                <w:color w:val="000000" w:themeColor="text1"/>
                <w:sz w:val="24"/>
                <w:u w:val="none"/>
                <w:lang w:eastAsia="en-US"/>
              </w:rPr>
              <w:t xml:space="preserve">3</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themeColor="text1"/>
                <w:sz w:val="24"/>
                <w:u w:val="none"/>
                <w:lang w:eastAsia="en-US"/>
              </w:rPr>
            </w:pPr>
            <w:r>
              <w:rPr>
                <w:rFonts w:ascii="宋体" w:hAnsi="宋体" w:cs="Calibri"/>
                <w:color w:val="000000" w:themeColor="text1"/>
                <w:sz w:val="24"/>
                <w:u w:val="none"/>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themeColor="text1"/>
                <w:sz w:val="24"/>
                <w:u w:val="none"/>
                <w:lang w:eastAsia="en-US"/>
              </w:rPr>
            </w:pPr>
            <w:r>
              <w:rPr>
                <w:rFonts w:ascii="宋体" w:hAnsi="宋体" w:cs="Calibri"/>
                <w:color w:val="000000" w:themeColor="text1"/>
                <w:sz w:val="24"/>
                <w:u w:val="none"/>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c>
          <w:tcPr>
            <w:tcBorders>
              <w:left w:val="single" w:color="000000" w:sz="4" w:space="0"/>
            </w:tcBorders>
            <w:tcW w:w="1068" w:type="dxa"/>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r>
      <w:tr>
        <w:trPr>
          <w:trHeight w:val="594"/>
        </w:trPr>
        <w:tc>
          <w:tcPr>
            <w:gridSpan w:val="8"/>
            <w:tcW w:w="9782" w:type="dxa"/>
            <w:vAlign w:val="center"/>
            <w:textDirection w:val="lrTb"/>
            <w:noWrap w:val="false"/>
          </w:tcPr>
          <w:p>
            <w:pPr>
              <w:jc w:val="center"/>
              <w:spacing w:line="360" w:lineRule="auto"/>
              <w:rPr>
                <w:rFonts w:ascii="宋体" w:hAnsi="宋体"/>
                <w:b/>
                <w:color w:val="000000" w:themeColor="text1"/>
                <w:sz w:val="24"/>
                <w:u w:val="none"/>
                <w:lang w:eastAsia="en-US"/>
              </w:rPr>
            </w:pPr>
            <w:r>
              <w:rPr>
                <w:rFonts w:hint="eastAsia" w:ascii="宋体" w:hAnsi="宋体"/>
                <w:b/>
                <w:color w:val="000000" w:themeColor="text1"/>
                <w:sz w:val="24"/>
                <w:u w:val="none"/>
                <w:lang w:eastAsia="en-US"/>
              </w:rPr>
              <w:t xml:space="preserve">货物部分小计：     元</w:t>
            </w:r>
            <w:r/>
          </w:p>
        </w:tc>
      </w:tr>
      <w:tr>
        <w:trPr/>
        <w:tc>
          <w:tcPr>
            <w:gridSpan w:val="4"/>
            <w:tcW w:w="4299" w:type="dxa"/>
            <w:textDirection w:val="lrTb"/>
            <w:noWrap w:val="false"/>
          </w:tcPr>
          <w:p>
            <w:pPr>
              <w:spacing w:line="360" w:lineRule="auto"/>
              <w:rPr>
                <w:rFonts w:ascii="宋体" w:hAnsi="宋体"/>
                <w:b/>
                <w:color w:val="000000" w:themeColor="text1"/>
                <w:sz w:val="24"/>
                <w:u w:val="none"/>
              </w:rPr>
            </w:pPr>
            <w:r>
              <w:rPr>
                <w:rFonts w:hint="eastAsia" w:ascii="宋体" w:hAnsi="宋体"/>
                <w:b/>
                <w:color w:val="000000" w:themeColor="text1"/>
                <w:sz w:val="24"/>
                <w:u w:val="none"/>
              </w:rPr>
              <w:t xml:space="preserve">其它与项目有关的费用</w:t>
            </w:r>
            <w:r/>
          </w:p>
        </w:tc>
        <w:tc>
          <w:tcPr>
            <w:gridSpan w:val="4"/>
            <w:tcW w:w="5483" w:type="dxa"/>
            <w:textDirection w:val="lrTb"/>
            <w:noWrap w:val="false"/>
          </w:tcPr>
          <w:p>
            <w:pPr>
              <w:jc w:val="center"/>
              <w:spacing w:line="360" w:lineRule="auto"/>
              <w:rPr>
                <w:rFonts w:ascii="宋体" w:hAnsi="宋体"/>
                <w:color w:val="000000" w:themeColor="text1"/>
                <w:sz w:val="24"/>
                <w:u w:val="none"/>
                <w:lang w:eastAsia="en-US"/>
              </w:rPr>
            </w:pPr>
            <w:r>
              <w:rPr>
                <w:rFonts w:hint="eastAsia" w:ascii="宋体" w:hAnsi="宋体" w:cs="楷体"/>
                <w:b/>
                <w:color w:val="000000" w:themeColor="text1"/>
                <w:sz w:val="24"/>
                <w:u w:val="none"/>
                <w:lang w:eastAsia="en-US"/>
              </w:rPr>
              <w:t xml:space="preserve">元</w:t>
            </w:r>
            <w:r/>
          </w:p>
        </w:tc>
      </w:tr>
      <w:tr>
        <w:trPr/>
        <w:tc>
          <w:tcPr>
            <w:gridSpan w:val="4"/>
            <w:tcW w:w="4299" w:type="dxa"/>
            <w:textDirection w:val="lrTb"/>
            <w:noWrap w:val="false"/>
          </w:tcPr>
          <w:p>
            <w:pPr>
              <w:spacing w:line="360" w:lineRule="auto"/>
              <w:rPr>
                <w:rFonts w:ascii="宋体" w:hAnsi="宋体"/>
                <w:b/>
                <w:color w:val="000000" w:themeColor="text1"/>
                <w:sz w:val="24"/>
                <w:u w:val="none"/>
                <w:lang w:eastAsia="en-US"/>
              </w:rPr>
            </w:pPr>
            <w:r>
              <w:rPr>
                <w:rFonts w:hint="eastAsia" w:ascii="宋体" w:hAnsi="宋体"/>
                <w:b/>
                <w:color w:val="000000" w:themeColor="text1"/>
                <w:sz w:val="24"/>
                <w:u w:val="none"/>
                <w:lang w:eastAsia="en-US"/>
              </w:rPr>
              <w:t xml:space="preserve">项目总报价</w:t>
            </w:r>
            <w:r/>
          </w:p>
        </w:tc>
        <w:tc>
          <w:tcPr>
            <w:gridSpan w:val="4"/>
            <w:tcW w:w="5483" w:type="dxa"/>
            <w:textDirection w:val="lrTb"/>
            <w:noWrap w:val="false"/>
          </w:tcPr>
          <w:p>
            <w:pPr>
              <w:jc w:val="center"/>
              <w:spacing w:line="360" w:lineRule="auto"/>
              <w:rPr>
                <w:rFonts w:ascii="宋体" w:hAnsi="宋体"/>
                <w:color w:val="000000" w:themeColor="text1"/>
                <w:sz w:val="24"/>
                <w:u w:val="none"/>
                <w:lang w:eastAsia="en-US"/>
              </w:rPr>
            </w:pPr>
            <w:r>
              <w:rPr>
                <w:rFonts w:hint="eastAsia" w:ascii="宋体" w:hAnsi="宋体" w:cs="楷体"/>
                <w:b/>
                <w:color w:val="000000" w:themeColor="text1"/>
                <w:sz w:val="24"/>
                <w:u w:val="none"/>
                <w:lang w:eastAsia="en-US"/>
              </w:rPr>
              <w:t xml:space="preserve">元</w:t>
            </w:r>
            <w:r/>
          </w:p>
        </w:tc>
      </w:tr>
    </w:tbl>
    <w:p>
      <w:pPr>
        <w:spacing w:line="360" w:lineRule="auto"/>
        <w:rPr>
          <w:rFonts w:ascii="宋体" w:hAnsi="宋体"/>
          <w:b/>
          <w:color w:val="000000" w:themeColor="text1"/>
          <w:sz w:val="24"/>
          <w:u w:val="none"/>
        </w:rPr>
      </w:pPr>
      <w:r>
        <w:rPr>
          <w:rFonts w:ascii="宋体" w:hAnsi="宋体"/>
          <w:b/>
          <w:color w:val="000000" w:themeColor="text1"/>
          <w:sz w:val="24"/>
          <w:u w:val="none"/>
        </w:rPr>
      </w:r>
      <w:r/>
    </w:p>
    <w:p>
      <w:pPr>
        <w:spacing w:line="360" w:lineRule="auto"/>
        <w:rPr>
          <w:rFonts w:ascii="宋体" w:hAnsi="宋体"/>
          <w:b/>
          <w:color w:val="000000" w:themeColor="text1"/>
          <w:sz w:val="24"/>
          <w:u w:val="none"/>
        </w:rPr>
      </w:pPr>
      <w:r>
        <w:rPr>
          <w:rFonts w:hint="eastAsia" w:ascii="宋体" w:hAnsi="宋体"/>
          <w:b/>
          <w:color w:val="000000" w:themeColor="text1"/>
          <w:sz w:val="24"/>
          <w:u w:val="none"/>
        </w:rPr>
        <w:t xml:space="preserve">注：</w:t>
      </w:r>
      <w:r>
        <w:rPr>
          <w:rFonts w:hint="eastAsia" w:ascii="宋体" w:hAnsi="宋体"/>
          <w:color w:val="000000" w:themeColor="text1"/>
          <w:sz w:val="24"/>
          <w:u w:val="none"/>
        </w:rPr>
        <w:t xml:space="preserve">1、</w:t>
      </w:r>
      <w:r>
        <w:rPr>
          <w:rFonts w:hint="eastAsia" w:ascii="宋体" w:hAnsi="宋体"/>
          <w:b/>
          <w:color w:val="000000" w:themeColor="text1"/>
          <w:sz w:val="24"/>
          <w:u w:val="none"/>
        </w:rPr>
        <w:t xml:space="preserve">投标人应当按照招标文件采购需求及相关报价要求填写</w:t>
      </w:r>
      <w:r>
        <w:rPr>
          <w:rFonts w:hint="eastAsia" w:ascii="宋体" w:hAnsi="宋体"/>
          <w:color w:val="000000" w:themeColor="text1"/>
          <w:sz w:val="24"/>
          <w:u w:val="none"/>
        </w:rPr>
        <w:t xml:space="preserve">。</w:t>
      </w:r>
      <w:r/>
    </w:p>
    <w:p>
      <w:pPr>
        <w:ind w:left="-283" w:firstLine="480"/>
        <w:spacing w:line="360" w:lineRule="auto"/>
        <w:rPr>
          <w:rFonts w:ascii="宋体" w:hAnsi="宋体"/>
          <w:color w:val="000000" w:themeColor="text1"/>
          <w:sz w:val="24"/>
          <w:u w:val="none"/>
        </w:rPr>
      </w:pPr>
      <w:r>
        <w:rPr>
          <w:rFonts w:hint="eastAsia" w:ascii="宋体" w:hAnsi="宋体"/>
          <w:color w:val="000000" w:themeColor="text1"/>
          <w:sz w:val="24"/>
          <w:u w:val="none"/>
        </w:rPr>
        <w:t xml:space="preserve">2、本表中“其它”由投标人根据采购需求及自身经验进行补充填写。项目实施时，除采购人明确提出需要变更增加外，不再增加任何费用，投标人应确保本项目能安全、正常运行并达到采购要求。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olor w:val="000000" w:themeColor="text1"/>
          <w:sz w:val="24"/>
          <w:u w:val="none"/>
        </w:rPr>
      </w:pPr>
      <w:r>
        <w:rPr>
          <w:rFonts w:hint="eastAsia" w:ascii="宋体" w:hAnsi="宋体"/>
          <w:color w:val="000000" w:themeColor="text1"/>
          <w:sz w:val="24"/>
          <w:u w:val="none"/>
        </w:rPr>
        <w:t xml:space="preserve">3、本表中项目总报价应与开标一览表中项目总报价保持一致。</w:t>
      </w:r>
      <w:r/>
    </w:p>
    <w:p>
      <w:pPr>
        <w:ind w:left="-283" w:firstLine="480"/>
        <w:spacing w:line="360" w:lineRule="auto"/>
        <w:rPr>
          <w:rFonts w:ascii="宋体" w:hAnsi="宋体"/>
          <w:bCs/>
          <w:color w:val="000000" w:themeColor="text1"/>
          <w:sz w:val="24"/>
          <w:u w:val="none"/>
        </w:rPr>
      </w:pPr>
      <w:r>
        <w:rPr>
          <w:rFonts w:hint="eastAsia" w:ascii="宋体" w:hAnsi="宋体"/>
          <w:color w:val="000000" w:themeColor="text1"/>
          <w:sz w:val="24"/>
          <w:u w:val="none"/>
        </w:rPr>
        <w:t xml:space="preserve">4、</w:t>
      </w:r>
      <w:r>
        <w:rPr>
          <w:rFonts w:hint="eastAsia" w:ascii="宋体" w:hAnsi="宋体"/>
          <w:bCs/>
          <w:color w:val="000000" w:themeColor="text1"/>
          <w:sz w:val="24"/>
          <w:u w:val="none"/>
        </w:rPr>
        <w:t xml:space="preserve">报价保留至小数点后两位，四舍五入。</w:t>
      </w:r>
      <w:r/>
    </w:p>
    <w:p>
      <w:pPr>
        <w:ind w:left="-283" w:firstLine="480"/>
        <w:spacing w:line="360" w:lineRule="auto"/>
        <w:rPr>
          <w:rFonts w:ascii="宋体" w:hAnsi="宋体"/>
          <w:bCs/>
          <w:color w:val="000000" w:themeColor="text1"/>
          <w:sz w:val="24"/>
          <w:u w:val="none"/>
        </w:rPr>
      </w:pPr>
      <w:r>
        <w:rPr>
          <w:rFonts w:hint="eastAsia" w:ascii="宋体" w:hAnsi="宋体"/>
          <w:bCs/>
          <w:color w:val="000000" w:themeColor="text1"/>
          <w:sz w:val="24"/>
          <w:u w:val="none"/>
        </w:rPr>
        <w:t xml:space="preserve">5、标的物报价不得为零，否则投标无效。</w:t>
      </w:r>
      <w:r/>
    </w:p>
    <w:p>
      <w:pPr>
        <w:pStyle w:val="779"/>
        <w:jc w:val="center"/>
        <w:spacing w:line="360" w:lineRule="auto"/>
        <w:rPr>
          <w:rFonts w:ascii="宋体" w:hAnsi="宋体"/>
          <w:color w:val="000000" w:themeColor="text1"/>
          <w:u w:val="none"/>
          <w:lang w:eastAsia="zh-CN"/>
        </w:rPr>
      </w:pPr>
      <w:r>
        <w:rPr>
          <w:rFonts w:ascii="宋体" w:hAnsi="宋体"/>
          <w:color w:val="000000" w:themeColor="text1"/>
          <w:u w:val="none"/>
          <w:lang w:eastAsia="zh-CN"/>
        </w:rPr>
      </w:r>
      <w:r/>
    </w:p>
    <w:p>
      <w:pPr>
        <w:pStyle w:val="779"/>
        <w:jc w:val="center"/>
        <w:spacing w:line="360" w:lineRule="auto"/>
        <w:rPr>
          <w:rFonts w:ascii="宋体" w:hAnsi="宋体"/>
          <w:color w:val="000000" w:themeColor="text1"/>
          <w:u w:val="none"/>
          <w:lang w:eastAsia="zh-CN"/>
        </w:rPr>
      </w:pPr>
      <w:r>
        <w:rPr>
          <w:rFonts w:ascii="宋体" w:hAnsi="宋体"/>
          <w:color w:val="000000" w:themeColor="text1"/>
          <w:u w:val="none"/>
          <w:lang w:eastAsia="zh-CN"/>
        </w:rPr>
      </w:r>
      <w:r/>
    </w:p>
    <w:p>
      <w:pPr>
        <w:spacing w:before="240" w:after="240"/>
        <w:rPr>
          <w:rFonts w:ascii="宋体" w:hAnsi="宋体" w:cs="宋体"/>
          <w:color w:val="000000" w:themeColor="text1"/>
          <w:sz w:val="24"/>
          <w:u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u w:val="none"/>
        </w:rPr>
        <w:t xml:space="preserve">法定代表人或授权代表（签字或盖章）： </w:t>
      </w:r>
      <w:r/>
    </w:p>
    <w:p>
      <w:pPr>
        <w:pStyle w:val="1034"/>
        <w:rPr>
          <w:rFonts w:ascii="宋体" w:hAnsi="宋体" w:cs="宋体"/>
          <w:color w:val="000000" w:themeColor="text1"/>
          <w:sz w:val="24"/>
          <w:u w:val="none"/>
        </w:rPr>
      </w:pPr>
      <w:r>
        <w:rPr>
          <w:rFonts w:ascii="宋体" w:hAnsi="宋体" w:cs="宋体"/>
          <w:color w:val="000000" w:themeColor="text1"/>
          <w:sz w:val="24"/>
          <w:u w:val="none"/>
        </w:rPr>
      </w:r>
      <w:r/>
    </w:p>
    <w:p>
      <w:pPr>
        <w:ind w:firstLine="5520"/>
        <w:spacing w:before="240" w:after="240"/>
        <w:rPr>
          <w:rFonts w:ascii="宋体" w:hAnsi="宋体" w:cs="宋体"/>
          <w:color w:val="000000" w:themeColor="text1"/>
          <w:sz w:val="24"/>
          <w:u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u w:val="none"/>
        </w:rPr>
        <w:t xml:space="preserve">日期：     年   月   日</w:t>
      </w:r>
      <w:r/>
    </w:p>
    <w:p>
      <w:pPr>
        <w:pStyle w:val="1112"/>
        <w:ind w:firstLine="420"/>
        <w:jc w:val="left"/>
        <w:spacing w:line="360" w:lineRule="auto"/>
        <w:tabs>
          <w:tab w:val="left" w:pos="7290" w:leader="none"/>
        </w:tabs>
        <w:rPr>
          <w:color w:val="000000"/>
          <w:u w:val="none"/>
        </w:rPr>
      </w:pPr>
      <w:r>
        <w:rPr>
          <w:rFonts w:ascii="宋体" w:hAnsi="宋体"/>
          <w:color w:val="000000" w:themeColor="text1"/>
          <w:u w:val="none"/>
          <w:lang w:eastAsia="zh-CN"/>
        </w:rPr>
        <w:br w:type="page" w:clear="all"/>
      </w:r>
      <w:r/>
    </w:p>
    <w:p>
      <w:pPr>
        <w:pStyle w:val="779"/>
        <w:jc w:val="center"/>
        <w:spacing w:line="360" w:lineRule="auto"/>
        <w:rPr>
          <w:rFonts w:ascii="宋体" w:hAnsi="宋体"/>
          <w:b/>
          <w:color w:val="000000" w:themeColor="text1"/>
          <w:sz w:val="32"/>
          <w:szCs w:val="32"/>
          <w:u w:val="none"/>
          <w:lang w:eastAsia="zh-CN"/>
        </w:rPr>
      </w:pPr>
      <w:r>
        <w:rPr>
          <w:rFonts w:hint="eastAsia" w:ascii="宋体" w:hAnsi="宋体"/>
          <w:b/>
          <w:color w:val="000000" w:themeColor="text1"/>
          <w:sz w:val="32"/>
          <w:szCs w:val="32"/>
          <w:u w:val="none"/>
          <w:lang w:eastAsia="zh-CN"/>
        </w:rPr>
        <w:t xml:space="preserve">五、技术部分</w:t>
      </w:r>
      <w:r/>
    </w:p>
    <w:p>
      <w:pPr>
        <w:jc w:val="center"/>
        <w:widowControl/>
        <w:rPr>
          <w:rFonts w:ascii="宋体" w:hAnsi="宋体"/>
          <w:b/>
          <w:color w:val="000000" w:themeColor="text1"/>
          <w:sz w:val="24"/>
          <w:u w:val="none"/>
        </w:rPr>
      </w:pPr>
      <w:r>
        <w:rPr>
          <w:rFonts w:hint="eastAsia" w:ascii="宋体" w:hAnsi="宋体"/>
          <w:b/>
          <w:color w:val="000000" w:themeColor="text1"/>
          <w:sz w:val="24"/>
          <w:u w:val="none"/>
        </w:rPr>
        <w:t xml:space="preserve">1.技术响应及偏离表</w:t>
      </w:r>
      <w:r/>
    </w:p>
    <w:tbl>
      <w:tblPr>
        <w:tblStyle w:val="778"/>
        <w:tblW w:w="7883"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宋体" w:hAnsi="宋体"/>
                <w:b/>
                <w:color w:val="000000" w:themeColor="text1"/>
                <w:szCs w:val="21"/>
                <w:u w:val="none"/>
                <w:lang w:eastAsia="en-US"/>
              </w:rPr>
            </w:pPr>
            <w:r>
              <w:rPr>
                <w:rFonts w:ascii="宋体" w:hAnsi="宋体"/>
                <w:b/>
                <w:color w:val="000000" w:themeColor="text1"/>
                <w:sz w:val="32"/>
                <w:szCs w:val="32"/>
                <w:u w:val="none"/>
              </w:rPr>
              <w:br w:type="page" w:clear="all"/>
            </w:r>
            <w:r>
              <w:rPr>
                <w:rFonts w:hint="eastAsia" w:ascii="宋体" w:hAnsi="宋体"/>
                <w:b/>
                <w:color w:val="000000" w:themeColor="text1"/>
                <w:szCs w:val="21"/>
                <w:u w:val="none"/>
                <w:lang w:eastAsia="en-US"/>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themeColor="text1"/>
                <w:szCs w:val="21"/>
                <w:u w:val="none"/>
                <w:lang w:eastAsia="en-US"/>
              </w:rPr>
            </w:pPr>
            <w:r>
              <w:rPr>
                <w:rFonts w:hint="eastAsia" w:ascii="宋体" w:hAnsi="宋体"/>
                <w:b/>
                <w:color w:val="000000" w:themeColor="text1"/>
                <w:szCs w:val="21"/>
                <w:u w:val="none"/>
                <w:lang w:eastAsia="en-US"/>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themeColor="text1"/>
                <w:szCs w:val="21"/>
                <w:u w:val="none"/>
                <w:lang w:eastAsia="en-US"/>
              </w:rPr>
            </w:pPr>
            <w:r>
              <w:rPr>
                <w:rFonts w:hint="eastAsia" w:ascii="宋体" w:hAnsi="宋体"/>
                <w:b/>
                <w:color w:val="000000" w:themeColor="text1"/>
                <w:szCs w:val="21"/>
                <w:u w:val="none"/>
                <w:lang w:eastAsia="en-US"/>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ascii="宋体" w:hAnsi="宋体"/>
                <w:b/>
                <w:color w:val="000000" w:themeColor="text1"/>
                <w:szCs w:val="21"/>
                <w:u w:val="none"/>
                <w:lang w:eastAsia="en-US"/>
              </w:rPr>
            </w:pPr>
            <w:r>
              <w:rPr>
                <w:rFonts w:hint="eastAsia" w:ascii="宋体" w:hAnsi="宋体"/>
                <w:b/>
                <w:color w:val="000000" w:themeColor="text1"/>
                <w:szCs w:val="21"/>
                <w:u w:val="none"/>
                <w:lang w:eastAsia="en-US"/>
              </w:rPr>
              <w:t xml:space="preserve">响应产品名称及型号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themeColor="text1"/>
                <w:szCs w:val="21"/>
                <w:u w:val="none"/>
                <w:lang w:eastAsia="en-US"/>
              </w:rPr>
            </w:pPr>
            <w:r>
              <w:rPr>
                <w:rFonts w:hint="eastAsia" w:ascii="宋体" w:hAnsi="宋体"/>
                <w:b/>
                <w:color w:val="000000" w:themeColor="text1"/>
                <w:szCs w:val="21"/>
                <w:u w:val="none"/>
                <w:lang w:eastAsia="en-US"/>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themeColor="text1"/>
                <w:szCs w:val="21"/>
                <w:u w:val="none"/>
              </w:rPr>
            </w:pPr>
            <w:r>
              <w:rPr>
                <w:rFonts w:hint="eastAsia" w:ascii="宋体" w:hAnsi="宋体"/>
                <w:b/>
                <w:color w:val="000000" w:themeColor="text1"/>
                <w:szCs w:val="21"/>
                <w:u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宋体" w:hAnsi="宋体"/>
                <w:b/>
                <w:color w:val="000000" w:themeColor="text1"/>
                <w:szCs w:val="21"/>
                <w:u w:val="none"/>
              </w:rPr>
            </w:pPr>
            <w:r>
              <w:rPr>
                <w:rFonts w:hint="eastAsia" w:ascii="宋体" w:hAnsi="宋体"/>
                <w:b/>
                <w:color w:val="000000" w:themeColor="text1"/>
                <w:szCs w:val="21"/>
                <w:u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color w:val="000000" w:themeColor="text1"/>
                <w:u w:val="none"/>
                <w:lang w:eastAsia="en-US"/>
              </w:rPr>
            </w:pPr>
            <w:r>
              <w:rPr>
                <w:rFonts w:ascii="宋体" w:hAnsi="宋体"/>
                <w:color w:val="000000" w:themeColor="text1"/>
                <w:u w:val="none"/>
                <w:lang w:eastAsia="en-US"/>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color w:val="000000" w:themeColor="text1"/>
                <w:u w:val="none"/>
                <w:lang w:eastAsia="en-US"/>
              </w:rPr>
            </w:pPr>
            <w:r>
              <w:rPr>
                <w:rFonts w:ascii="宋体" w:hAnsi="宋体"/>
                <w:color w:val="000000" w:themeColor="text1"/>
                <w:u w:val="none"/>
                <w:lang w:eastAsia="en-US"/>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color w:val="000000" w:themeColor="text1"/>
                <w:u w:val="none"/>
                <w:lang w:eastAsia="en-US"/>
              </w:rPr>
            </w:pPr>
            <w:r>
              <w:rPr>
                <w:rFonts w:hint="eastAsia" w:ascii="宋体" w:hAnsi="宋体"/>
                <w:color w:val="000000" w:themeColor="text1"/>
                <w:u w:val="none"/>
                <w:lang w:eastAsia="en-US"/>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r>
    </w:tbl>
    <w:p>
      <w:pPr>
        <w:pStyle w:val="1121"/>
        <w:ind w:firstLine="480"/>
        <w:spacing w:line="360" w:lineRule="auto"/>
        <w:rPr>
          <w:rFonts w:ascii="宋体" w:hAnsi="宋体"/>
          <w:color w:val="000000" w:themeColor="text1"/>
          <w:sz w:val="24"/>
          <w:u w:val="none"/>
        </w:rPr>
      </w:pPr>
      <w:r>
        <w:rPr>
          <w:rFonts w:hint="eastAsia" w:ascii="宋体" w:hAnsi="宋体"/>
          <w:color w:val="000000" w:themeColor="text1"/>
          <w:sz w:val="24"/>
          <w:u w:val="none"/>
        </w:rPr>
        <w:t xml:space="preserve">注：1.按实际如实填写偏离表，行数不够可自行添加。</w:t>
      </w:r>
      <w:r/>
    </w:p>
    <w:p>
      <w:pPr>
        <w:pStyle w:val="1121"/>
        <w:ind w:firstLine="480"/>
        <w:spacing w:line="360" w:lineRule="auto"/>
        <w:rPr>
          <w:rFonts w:ascii="宋体" w:hAnsi="宋体"/>
          <w:color w:val="000000" w:themeColor="text1"/>
          <w:sz w:val="24"/>
          <w:u w:val="none"/>
        </w:rPr>
      </w:pPr>
      <w:r>
        <w:rPr>
          <w:rFonts w:hint="eastAsia" w:ascii="宋体" w:hAnsi="宋体"/>
          <w:color w:val="000000" w:themeColor="text1"/>
          <w:sz w:val="24"/>
          <w:u w:val="non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1121"/>
        <w:ind w:firstLine="480"/>
        <w:spacing w:line="360" w:lineRule="auto"/>
        <w:rPr>
          <w:rFonts w:ascii="宋体" w:hAnsi="宋体"/>
          <w:color w:val="000000" w:themeColor="text1"/>
          <w:sz w:val="24"/>
          <w:u w:val="none"/>
        </w:rPr>
      </w:pPr>
      <w:r>
        <w:rPr>
          <w:rFonts w:hint="eastAsia" w:ascii="宋体" w:hAnsi="宋体"/>
          <w:color w:val="000000" w:themeColor="text1"/>
          <w:sz w:val="24"/>
          <w:u w:val="none"/>
        </w:rPr>
        <w:t xml:space="preserve">3.项目需求中如出现具体产品的品牌、型号、参数等，仅供投标人更好地理解采购人对设备的需求，不能理解为唯一指定，只要优或相当于其技术参数及功能要求的，均可视为响应。</w:t>
      </w:r>
      <w:r/>
    </w:p>
    <w:p>
      <w:pPr>
        <w:pStyle w:val="1112"/>
        <w:ind w:firstLine="420"/>
        <w:jc w:val="left"/>
        <w:spacing w:line="360" w:lineRule="auto"/>
        <w:tabs>
          <w:tab w:val="left" w:pos="7290" w:leader="none"/>
        </w:tabs>
        <w:rPr>
          <w:color w:val="000000"/>
          <w:u w:val="none"/>
        </w:rPr>
      </w:pPr>
      <w:r>
        <w:rPr>
          <w:color w:val="000000"/>
          <w:u w:val="none"/>
        </w:rPr>
      </w:r>
      <w:r/>
    </w:p>
    <w:p>
      <w:pPr>
        <w:pStyle w:val="1112"/>
        <w:ind w:firstLine="420"/>
        <w:jc w:val="left"/>
        <w:spacing w:line="360" w:lineRule="auto"/>
        <w:tabs>
          <w:tab w:val="left" w:pos="7290" w:leader="none"/>
        </w:tabs>
        <w:rPr>
          <w:color w:val="000000"/>
          <w:u w:val="none"/>
        </w:rPr>
      </w:pPr>
      <w:r>
        <w:rPr>
          <w:color w:val="000000"/>
          <w:u w:val="none"/>
        </w:rPr>
      </w:r>
      <w:r/>
    </w:p>
    <w:p>
      <w:pPr>
        <w:pStyle w:val="1114"/>
        <w:ind w:firstLine="420"/>
        <w:jc w:val="both"/>
        <w:spacing w:line="360" w:lineRule="auto"/>
        <w:rPr>
          <w:rFonts w:ascii="宋体" w:hAnsi="宋体" w:eastAsia="宋体" w:cs="宋体"/>
          <w:color w:val="000000"/>
          <w:sz w:val="21"/>
          <w:szCs w:val="21"/>
          <w:u w:val="none"/>
        </w:rPr>
        <w:outlineLvl w:val="1"/>
      </w:pPr>
      <w:r>
        <w:rPr>
          <w:rFonts w:ascii="宋体" w:hAnsi="宋体" w:eastAsia="宋体" w:cs="宋体"/>
          <w:color w:val="000000"/>
          <w:sz w:val="21"/>
          <w:szCs w:val="21"/>
          <w:u w:val="none"/>
        </w:rPr>
      </w:r>
      <w:r/>
    </w:p>
    <w:p>
      <w:pPr>
        <w:pStyle w:val="1114"/>
        <w:jc w:val="center"/>
        <w:rPr>
          <w:color w:val="000000"/>
          <w:u w:val="none"/>
        </w:rPr>
        <w:outlineLvl w:val="1"/>
      </w:pPr>
      <w:r>
        <w:rPr>
          <w:color w:val="000000"/>
          <w:u w:val="none"/>
        </w:rPr>
      </w:r>
      <w:r/>
    </w:p>
    <w:p>
      <w:pPr>
        <w:pStyle w:val="1114"/>
        <w:jc w:val="center"/>
        <w:rPr>
          <w:color w:val="000000"/>
          <w:u w:val="none"/>
        </w:rPr>
        <w:outlineLvl w:val="1"/>
      </w:pPr>
      <w:r>
        <w:rPr>
          <w:color w:val="000000"/>
          <w:u w:val="none"/>
        </w:rPr>
      </w:r>
      <w:r/>
    </w:p>
    <w:p>
      <w:pPr>
        <w:pStyle w:val="1114"/>
        <w:jc w:val="center"/>
        <w:rPr>
          <w:rFonts w:ascii="宋体" w:hAnsi="宋体" w:eastAsia="宋体" w:cs="宋体"/>
          <w:color w:val="000000"/>
          <w:sz w:val="32"/>
          <w:u w:val="none"/>
        </w:rPr>
        <w:outlineLvl w:val="1"/>
      </w:pPr>
      <w:r>
        <w:rPr>
          <w:rFonts w:ascii="宋体" w:hAnsi="宋体" w:eastAsia="宋体" w:cs="宋体"/>
          <w:color w:val="000000"/>
          <w:sz w:val="32"/>
          <w:u w:val="none"/>
        </w:rPr>
      </w:r>
      <w:r/>
    </w:p>
    <w:p>
      <w:pPr>
        <w:pStyle w:val="1114"/>
        <w:jc w:val="center"/>
        <w:rPr>
          <w:rFonts w:ascii="宋体" w:hAnsi="宋体" w:eastAsia="宋体" w:cs="宋体"/>
          <w:color w:val="000000"/>
          <w:sz w:val="32"/>
          <w:u w:val="none"/>
        </w:rPr>
        <w:outlineLvl w:val="1"/>
      </w:pPr>
      <w:r>
        <w:rPr>
          <w:rFonts w:ascii="宋体" w:hAnsi="宋体" w:eastAsia="宋体" w:cs="宋体"/>
          <w:color w:val="000000"/>
          <w:sz w:val="32"/>
          <w:u w:val="none"/>
        </w:rPr>
      </w:r>
      <w:r/>
    </w:p>
    <w:p>
      <w:pPr>
        <w:pStyle w:val="1114"/>
        <w:jc w:val="center"/>
        <w:rPr>
          <w:rFonts w:ascii="宋体" w:hAnsi="宋体" w:eastAsia="宋体" w:cs="宋体"/>
          <w:color w:val="000000"/>
          <w:sz w:val="32"/>
          <w:u w:val="none"/>
        </w:rPr>
        <w:outlineLvl w:val="1"/>
      </w:pPr>
      <w:r>
        <w:rPr>
          <w:rFonts w:ascii="宋体" w:hAnsi="宋体" w:eastAsia="宋体" w:cs="宋体"/>
          <w:color w:val="000000"/>
          <w:sz w:val="32"/>
          <w:u w:val="none"/>
        </w:rPr>
      </w:r>
      <w:r/>
    </w:p>
    <w:p>
      <w:pPr>
        <w:pStyle w:val="779"/>
        <w:ind w:left="0" w:firstLine="0"/>
        <w:jc w:val="center"/>
        <w:spacing w:line="360" w:lineRule="auto"/>
        <w:rPr>
          <w:rFonts w:hint="eastAsia" w:ascii="宋体" w:hAnsi="宋体" w:eastAsia="宋体" w:cs="Times New Roman"/>
          <w:b/>
          <w:color w:val="000000" w:themeColor="text1"/>
          <w:sz w:val="32"/>
          <w:szCs w:val="32"/>
          <w:u w:val="none"/>
          <w:lang w:eastAsia="zh-CN"/>
        </w:rPr>
      </w:pPr>
      <w:r>
        <w:rPr>
          <w:rFonts w:hint="eastAsia" w:ascii="宋体" w:hAnsi="宋体" w:eastAsia="宋体" w:cs="Times New Roman"/>
          <w:b/>
          <w:color w:val="000000" w:themeColor="text1"/>
          <w:sz w:val="32"/>
          <w:szCs w:val="32"/>
          <w:u w:val="none"/>
          <w:lang w:val="en-US" w:eastAsia="zh-CN"/>
        </w:rPr>
        <w:t xml:space="preserve">六</w:t>
      </w:r>
      <w:r>
        <w:rPr>
          <w:rFonts w:hint="eastAsia" w:ascii="宋体" w:hAnsi="宋体" w:eastAsia="宋体" w:cs="Times New Roman"/>
          <w:b/>
          <w:color w:val="000000" w:themeColor="text1"/>
          <w:sz w:val="32"/>
          <w:szCs w:val="32"/>
          <w:u w:val="none"/>
          <w:lang w:eastAsia="zh-CN"/>
        </w:rPr>
        <w:t xml:space="preserve">、技术部分</w:t>
      </w:r>
      <w:bookmarkEnd w:id="420"/>
      <w:r/>
      <w:r/>
    </w:p>
    <w:p>
      <w:pPr>
        <w:pStyle w:val="1116"/>
        <w:jc w:val="center"/>
        <w:rPr>
          <w:rFonts w:ascii="宋体" w:hAnsi="宋体" w:eastAsia="宋体" w:cs="宋体"/>
          <w:color w:val="000000"/>
          <w:sz w:val="28"/>
          <w:szCs w:val="28"/>
          <w:u w:val="none"/>
        </w:rPr>
        <w:outlineLvl w:val="1"/>
      </w:pPr>
      <w:r/>
      <w:bookmarkStart w:id="421" w:name="_Toc256000080"/>
      <w:r>
        <w:rPr>
          <w:rFonts w:hint="eastAsia" w:ascii="宋体" w:hAnsi="宋体" w:eastAsia="宋体" w:cs="宋体"/>
          <w:color w:val="000000"/>
          <w:sz w:val="28"/>
          <w:szCs w:val="28"/>
          <w:u w:val="none"/>
        </w:rPr>
        <w:t xml:space="preserve">（根据评分办法中的评分点逐条对应编制）</w:t>
      </w:r>
      <w:r/>
    </w:p>
    <w:p>
      <w:pPr>
        <w:pStyle w:val="1116"/>
        <w:jc w:val="center"/>
        <w:rPr>
          <w:rFonts w:ascii="宋体" w:hAnsi="宋体" w:eastAsia="宋体" w:cs="宋体"/>
          <w:color w:val="000000"/>
          <w:sz w:val="32"/>
          <w:u w:val="none"/>
        </w:rPr>
        <w:outlineLvl w:val="1"/>
      </w:pPr>
      <w:r>
        <w:rPr>
          <w:rFonts w:ascii="宋体" w:hAnsi="宋体" w:eastAsia="宋体" w:cs="宋体"/>
          <w:color w:val="000000"/>
          <w:sz w:val="32"/>
          <w:u w:val="none"/>
        </w:rPr>
      </w:r>
      <w:r/>
    </w:p>
    <w:p>
      <w:pPr>
        <w:pStyle w:val="1116"/>
        <w:jc w:val="center"/>
        <w:rPr>
          <w:rFonts w:ascii="宋体" w:hAnsi="宋体" w:eastAsia="宋体" w:cs="宋体"/>
          <w:color w:val="000000"/>
          <w:sz w:val="32"/>
          <w:u w:val="none"/>
        </w:rPr>
        <w:outlineLvl w:val="1"/>
      </w:pPr>
      <w:r>
        <w:rPr>
          <w:rFonts w:ascii="宋体" w:hAnsi="宋体" w:eastAsia="宋体" w:cs="宋体"/>
          <w:color w:val="000000"/>
          <w:sz w:val="32"/>
          <w:u w:val="none"/>
        </w:rPr>
      </w:r>
      <w:r/>
    </w:p>
    <w:p>
      <w:pPr>
        <w:rPr>
          <w:rFonts w:hint="eastAsia" w:ascii="宋体" w:hAnsi="宋体" w:eastAsia="宋体" w:cs="Times New Roman"/>
          <w:b/>
          <w:color w:val="000000" w:themeColor="text1"/>
          <w:sz w:val="32"/>
          <w:szCs w:val="32"/>
          <w:u w:val="none"/>
          <w:lang w:val="en-US" w:eastAsia="zh-CN"/>
        </w:rPr>
      </w:pPr>
      <w:r>
        <w:rPr>
          <w:rFonts w:hint="eastAsia" w:ascii="宋体" w:hAnsi="宋体" w:eastAsia="宋体" w:cs="Times New Roman"/>
          <w:b/>
          <w:color w:val="000000" w:themeColor="text1"/>
          <w:sz w:val="32"/>
          <w:szCs w:val="32"/>
          <w:u w:val="none"/>
          <w:lang w:val="en-US" w:eastAsia="zh-CN"/>
        </w:rPr>
        <w:br w:type="page" w:clear="all"/>
      </w:r>
      <w:r/>
    </w:p>
    <w:p>
      <w:pPr>
        <w:pStyle w:val="779"/>
        <w:ind w:left="0" w:firstLine="0"/>
        <w:jc w:val="center"/>
        <w:spacing w:line="360" w:lineRule="auto"/>
        <w:rPr>
          <w:rFonts w:hint="eastAsia" w:ascii="宋体" w:hAnsi="宋体" w:eastAsia="宋体" w:cs="Times New Roman"/>
          <w:b/>
          <w:color w:val="000000" w:themeColor="text1"/>
          <w:sz w:val="32"/>
          <w:szCs w:val="32"/>
          <w:u w:val="none"/>
          <w:lang w:eastAsia="zh-CN"/>
        </w:rPr>
      </w:pPr>
      <w:r>
        <w:rPr>
          <w:rFonts w:hint="eastAsia" w:ascii="宋体" w:hAnsi="宋体" w:eastAsia="宋体" w:cs="Times New Roman"/>
          <w:b/>
          <w:color w:val="000000" w:themeColor="text1"/>
          <w:sz w:val="32"/>
          <w:szCs w:val="32"/>
          <w:u w:val="none"/>
          <w:lang w:val="en-US" w:eastAsia="zh-CN"/>
        </w:rPr>
        <w:t xml:space="preserve">七、</w:t>
      </w:r>
      <w:r>
        <w:rPr>
          <w:rFonts w:hint="eastAsia" w:ascii="宋体" w:hAnsi="宋体" w:eastAsia="宋体" w:cs="Times New Roman"/>
          <w:b/>
          <w:color w:val="000000" w:themeColor="text1"/>
          <w:sz w:val="32"/>
          <w:szCs w:val="32"/>
          <w:u w:val="none"/>
          <w:lang w:eastAsia="zh-CN"/>
        </w:rPr>
        <w:t xml:space="preserve">商务部分</w:t>
      </w:r>
      <w:bookmarkEnd w:id="421"/>
      <w:r/>
      <w:r/>
    </w:p>
    <w:p>
      <w:pPr>
        <w:pStyle w:val="1118"/>
        <w:jc w:val="center"/>
        <w:spacing w:line="400" w:lineRule="exact"/>
        <w:widowControl/>
        <w:rPr>
          <w:rFonts w:ascii="宋体" w:hAnsi="宋体" w:cs="宋体"/>
          <w:color w:val="000000"/>
          <w:sz w:val="28"/>
          <w:u w:val="none"/>
        </w:rPr>
      </w:pPr>
      <w:r/>
      <w:bookmarkStart w:id="422" w:name="_Toc256000082"/>
      <w:r/>
      <w:r/>
    </w:p>
    <w:p>
      <w:pPr>
        <w:pStyle w:val="1116"/>
        <w:jc w:val="center"/>
        <w:rPr>
          <w:rFonts w:ascii="宋体" w:hAnsi="宋体" w:eastAsia="宋体" w:cs="宋体"/>
          <w:color w:val="000000"/>
          <w:sz w:val="28"/>
          <w:szCs w:val="28"/>
          <w:u w:val="none"/>
        </w:rPr>
        <w:outlineLvl w:val="1"/>
      </w:pPr>
      <w:r>
        <w:rPr>
          <w:rFonts w:hint="eastAsia" w:ascii="宋体" w:hAnsi="宋体" w:eastAsia="宋体" w:cs="宋体"/>
          <w:color w:val="000000"/>
          <w:sz w:val="28"/>
          <w:szCs w:val="28"/>
          <w:u w:val="none"/>
        </w:rPr>
        <w:t xml:space="preserve">（根据评分办法中的评分点逐条对应编制）</w:t>
      </w:r>
      <w:bookmarkEnd w:id="422"/>
      <w:r/>
      <w:r/>
    </w:p>
    <w:p>
      <w:pPr>
        <w:pStyle w:val="1118"/>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118"/>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118"/>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118"/>
        <w:spacing w:line="400" w:lineRule="exact"/>
        <w:widowControl/>
        <w:rPr>
          <w:rFonts w:ascii="宋体" w:hAnsi="宋体" w:cs="宋体"/>
          <w:color w:val="000000"/>
          <w:sz w:val="28"/>
          <w:u w:val="none"/>
        </w:rPr>
      </w:pPr>
      <w:r>
        <w:rPr>
          <w:rFonts w:ascii="宋体" w:hAnsi="宋体" w:cs="宋体"/>
          <w:color w:val="000000"/>
          <w:sz w:val="28"/>
          <w:u w:val="none"/>
        </w:rPr>
      </w:r>
      <w:r/>
    </w:p>
    <w:p>
      <w:pPr>
        <w:pStyle w:val="1118"/>
        <w:spacing w:line="400" w:lineRule="exact"/>
        <w:widowControl/>
        <w:rPr>
          <w:rFonts w:ascii="宋体" w:hAnsi="宋体" w:cs="宋体"/>
          <w:color w:val="000000"/>
          <w:sz w:val="28"/>
          <w:u w:val="none"/>
        </w:rPr>
      </w:pPr>
      <w:r>
        <w:rPr>
          <w:rFonts w:ascii="宋体" w:hAnsi="宋体" w:cs="宋体"/>
          <w:color w:val="000000"/>
          <w:sz w:val="28"/>
          <w:u w:val="none"/>
        </w:rPr>
      </w:r>
      <w:r/>
    </w:p>
    <w:p>
      <w:pPr>
        <w:pStyle w:val="1118"/>
        <w:spacing w:line="400" w:lineRule="exact"/>
        <w:widowControl/>
        <w:rPr>
          <w:rFonts w:ascii="宋体" w:hAnsi="宋体" w:cs="宋体"/>
          <w:color w:val="000000"/>
          <w:sz w:val="28"/>
          <w:u w:val="none"/>
        </w:rPr>
      </w:pPr>
      <w:r>
        <w:rPr>
          <w:rFonts w:ascii="宋体" w:hAnsi="宋体" w:cs="宋体"/>
          <w:color w:val="000000"/>
          <w:sz w:val="28"/>
          <w:u w:val="none"/>
        </w:rPr>
      </w:r>
      <w:r/>
    </w:p>
    <w:p>
      <w:pPr>
        <w:pStyle w:val="1118"/>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118"/>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118"/>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118"/>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118"/>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118"/>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118"/>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118"/>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118"/>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118"/>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118"/>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118"/>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118"/>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121"/>
        <w:rPr>
          <w:rFonts w:eastAsia="宋体"/>
          <w:color w:val="000000"/>
          <w:u w:val="none"/>
        </w:rPr>
        <w:outlineLvl w:val="2"/>
      </w:pPr>
      <w:r/>
      <w:bookmarkStart w:id="423" w:name="_Toc256000083"/>
      <w:r/>
      <w:bookmarkEnd w:id="423"/>
      <w:r/>
      <w:r/>
    </w:p>
    <w:p>
      <w:pPr>
        <w:pStyle w:val="1121"/>
        <w:rPr>
          <w:rFonts w:eastAsia="宋体"/>
          <w:color w:val="000000"/>
          <w:u w:val="none"/>
        </w:rPr>
        <w:outlineLvl w:val="2"/>
      </w:pPr>
      <w:r>
        <w:rPr>
          <w:rFonts w:eastAsia="宋体"/>
          <w:color w:val="000000"/>
          <w:u w:val="none"/>
        </w:rPr>
      </w:r>
      <w:r/>
    </w:p>
    <w:p>
      <w:pPr>
        <w:pStyle w:val="1121"/>
        <w:rPr>
          <w:rFonts w:eastAsia="宋体"/>
          <w:color w:val="000000"/>
          <w:u w:val="none"/>
        </w:rPr>
        <w:outlineLvl w:val="2"/>
      </w:pPr>
      <w:r>
        <w:rPr>
          <w:rFonts w:eastAsia="宋体"/>
          <w:color w:val="000000"/>
          <w:u w:val="none"/>
        </w:rPr>
      </w:r>
      <w:r/>
    </w:p>
    <w:p>
      <w:pPr>
        <w:pStyle w:val="1121"/>
        <w:rPr>
          <w:rFonts w:eastAsia="宋体"/>
          <w:color w:val="000000"/>
          <w:u w:val="none"/>
        </w:rPr>
        <w:outlineLvl w:val="2"/>
      </w:pPr>
      <w:r>
        <w:rPr>
          <w:rFonts w:eastAsia="宋体"/>
          <w:color w:val="000000"/>
          <w:u w:val="none"/>
        </w:rPr>
      </w:r>
      <w:r/>
    </w:p>
    <w:p>
      <w:pPr>
        <w:pStyle w:val="1121"/>
        <w:rPr>
          <w:rFonts w:eastAsia="宋体"/>
          <w:color w:val="000000"/>
          <w:u w:val="none"/>
        </w:rPr>
        <w:outlineLvl w:val="2"/>
      </w:pPr>
      <w:r>
        <w:rPr>
          <w:rFonts w:eastAsia="宋体"/>
          <w:color w:val="000000"/>
          <w:u w:val="none"/>
        </w:rPr>
      </w:r>
      <w:r/>
    </w:p>
    <w:p>
      <w:pPr>
        <w:pStyle w:val="1121"/>
        <w:rPr>
          <w:rFonts w:eastAsia="宋体"/>
          <w:color w:val="000000"/>
          <w:u w:val="none"/>
        </w:rPr>
        <w:outlineLvl w:val="2"/>
      </w:pPr>
      <w:r>
        <w:rPr>
          <w:rFonts w:eastAsia="宋体"/>
          <w:color w:val="000000"/>
          <w:u w:val="none"/>
        </w:rPr>
      </w:r>
      <w:r/>
    </w:p>
    <w:p>
      <w:pPr>
        <w:pStyle w:val="1121"/>
        <w:rPr>
          <w:rFonts w:eastAsia="宋体"/>
          <w:color w:val="000000"/>
          <w:u w:val="none"/>
        </w:rPr>
        <w:outlineLvl w:val="2"/>
      </w:pPr>
      <w:r>
        <w:rPr>
          <w:rFonts w:eastAsia="宋体"/>
          <w:color w:val="000000"/>
          <w:u w:val="none"/>
        </w:rPr>
      </w:r>
      <w:r/>
    </w:p>
    <w:p>
      <w:pPr>
        <w:pStyle w:val="1121"/>
        <w:rPr>
          <w:rFonts w:eastAsia="宋体"/>
          <w:color w:val="000000"/>
          <w:u w:val="none"/>
        </w:rPr>
        <w:outlineLvl w:val="2"/>
      </w:pPr>
      <w:r>
        <w:rPr>
          <w:rFonts w:eastAsia="宋体"/>
          <w:color w:val="000000"/>
          <w:u w:val="none"/>
        </w:rPr>
      </w:r>
      <w:r/>
    </w:p>
    <w:p>
      <w:pPr>
        <w:pStyle w:val="1121"/>
        <w:rPr>
          <w:rFonts w:eastAsia="宋体"/>
          <w:color w:val="000000"/>
          <w:u w:val="none"/>
        </w:rPr>
        <w:outlineLvl w:val="2"/>
      </w:pPr>
      <w:r>
        <w:rPr>
          <w:rFonts w:eastAsia="宋体"/>
          <w:color w:val="000000"/>
          <w:u w:val="none"/>
        </w:rPr>
      </w:r>
      <w:r/>
    </w:p>
    <w:p>
      <w:pPr>
        <w:pStyle w:val="1121"/>
        <w:rPr>
          <w:rFonts w:eastAsia="宋体"/>
          <w:color w:val="000000"/>
          <w:u w:val="none"/>
        </w:rPr>
        <w:outlineLvl w:val="2"/>
      </w:pPr>
      <w:r>
        <w:rPr>
          <w:rFonts w:eastAsia="宋体"/>
          <w:color w:val="000000"/>
          <w:u w:val="none"/>
        </w:rPr>
      </w:r>
      <w:r/>
    </w:p>
    <w:p>
      <w:pPr>
        <w:pStyle w:val="1121"/>
        <w:rPr>
          <w:rFonts w:eastAsia="宋体"/>
          <w:color w:val="000000"/>
          <w:u w:val="none"/>
        </w:rPr>
        <w:outlineLvl w:val="2"/>
      </w:pPr>
      <w:r>
        <w:rPr>
          <w:rFonts w:eastAsia="宋体"/>
          <w:color w:val="000000"/>
          <w:u w:val="none"/>
        </w:rPr>
      </w:r>
      <w:bookmarkEnd w:id="409"/>
      <w:r/>
      <w:r/>
    </w:p>
    <w:p>
      <w:pPr>
        <w:pStyle w:val="1121"/>
        <w:rPr>
          <w:rFonts w:eastAsia="宋体"/>
          <w:color w:val="000000"/>
          <w:u w:val="none"/>
        </w:rPr>
        <w:outlineLvl w:val="2"/>
      </w:pPr>
      <w:r>
        <w:rPr>
          <w:rFonts w:eastAsia="宋体"/>
          <w:color w:val="000000"/>
          <w:u w:val="none"/>
        </w:rPr>
      </w:r>
      <w:r/>
    </w:p>
    <w:p>
      <w:pPr>
        <w:pStyle w:val="779"/>
        <w:ind w:firstLine="3020"/>
        <w:jc w:val="left"/>
        <w:spacing w:line="360" w:lineRule="auto"/>
        <w:rPr>
          <w:rFonts w:hint="eastAsia" w:ascii="宋体" w:hAnsi="宋体" w:eastAsia="宋体" w:cs="Times New Roman"/>
          <w:b/>
          <w:color w:val="000000" w:themeColor="text1"/>
          <w:sz w:val="32"/>
          <w:szCs w:val="32"/>
          <w:u w:val="none"/>
        </w:rPr>
      </w:pPr>
      <w:r>
        <w:rPr>
          <w:rFonts w:hint="eastAsia" w:ascii="宋体" w:hAnsi="宋体" w:eastAsia="宋体" w:cs="Times New Roman"/>
          <w:b/>
          <w:color w:val="000000" w:themeColor="text1"/>
          <w:sz w:val="32"/>
          <w:szCs w:val="32"/>
          <w:u w:val="none"/>
          <w:lang w:val="en-US" w:eastAsia="zh-CN"/>
        </w:rPr>
        <w:t xml:space="preserve">八、</w:t>
      </w:r>
      <w:r>
        <w:rPr>
          <w:rFonts w:hint="eastAsia" w:ascii="宋体" w:hAnsi="宋体" w:eastAsia="宋体" w:cs="Times New Roman"/>
          <w:b/>
          <w:color w:val="000000" w:themeColor="text1"/>
          <w:sz w:val="32"/>
          <w:szCs w:val="32"/>
          <w:u w:val="none"/>
        </w:rPr>
        <w:t xml:space="preserve">其他部分</w:t>
      </w:r>
      <w:r/>
    </w:p>
    <w:p>
      <w:pPr>
        <w:pStyle w:val="779"/>
        <w:ind w:firstLine="0"/>
        <w:jc w:val="center"/>
        <w:spacing w:line="560" w:lineRule="exact"/>
        <w:rPr>
          <w:rFonts w:ascii="宋体" w:hAnsi="宋体"/>
          <w:b/>
          <w:color w:val="000000" w:themeColor="text1"/>
          <w:sz w:val="32"/>
          <w:szCs w:val="32"/>
          <w:u w:val="none"/>
          <w:lang w:eastAsia="zh-CN"/>
        </w:rPr>
      </w:pPr>
      <w:r>
        <w:rPr>
          <w:rFonts w:hint="eastAsia" w:ascii="宋体" w:hAnsi="宋体"/>
          <w:b/>
          <w:color w:val="000000" w:themeColor="text1"/>
          <w:sz w:val="32"/>
          <w:szCs w:val="32"/>
          <w:u w:val="none"/>
          <w:lang w:eastAsia="zh-CN"/>
        </w:rPr>
        <w:t xml:space="preserve">按招标文件要求投标人所能提供的</w:t>
      </w:r>
      <w:r>
        <w:rPr>
          <w:rFonts w:ascii="宋体" w:hAnsi="宋体"/>
          <w:b/>
          <w:color w:val="000000" w:themeColor="text1"/>
          <w:sz w:val="32"/>
          <w:szCs w:val="32"/>
          <w:u w:val="none"/>
          <w:lang w:eastAsia="zh-CN"/>
        </w:rPr>
        <w:t xml:space="preserve">其他文件</w:t>
      </w:r>
      <w:r/>
    </w:p>
    <w:p>
      <w:pPr>
        <w:ind w:right="1280"/>
        <w:spacing w:line="360" w:lineRule="auto"/>
        <w:widowControl/>
        <w:rPr>
          <w:rFonts w:ascii="宋体" w:hAnsi="宋体"/>
          <w:b/>
          <w:color w:val="000000" w:themeColor="text1"/>
          <w:sz w:val="32"/>
          <w:szCs w:val="32"/>
          <w:u w:val="none"/>
        </w:rPr>
      </w:pPr>
      <w:r>
        <w:rPr>
          <w:rFonts w:ascii="宋体" w:hAnsi="宋体"/>
          <w:b/>
          <w:color w:val="000000" w:themeColor="text1"/>
          <w:sz w:val="32"/>
          <w:szCs w:val="32"/>
          <w:u w:val="none"/>
        </w:rPr>
      </w:r>
      <w:r/>
    </w:p>
    <w:p>
      <w:pPr>
        <w:ind w:right="153"/>
        <w:spacing w:before="1" w:line="99" w:lineRule="atLeast"/>
        <w:rPr>
          <w:rFonts w:hint="eastAsia" w:eastAsia="宋体"/>
          <w:color w:val="000000"/>
          <w:u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000000"/>
          <w:u w:val="none"/>
          <w:lang w:val="en-US" w:eastAsia="zh-CN"/>
        </w:rPr>
      </w:r>
      <w:r/>
    </w:p>
    <w:sectPr>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隶书">
    <w:panose1 w:val="02010509060101010101"/>
  </w:font>
  <w:font w:name="楷体">
    <w:panose1 w:val="02010609060101010101"/>
  </w:font>
  <w:font w:name="Symbol">
    <w:panose1 w:val="05050102010706020507"/>
  </w:font>
  <w:font w:name="Wingdings">
    <w:panose1 w:val="05000000000000000000"/>
  </w:font>
  <w:font w:name="Cambria">
    <w:panose1 w:val="02040503050406030204"/>
  </w:font>
  <w:font w:name="方正行楷简体">
    <w:panose1 w:val="020B0503020202020204"/>
  </w:font>
  <w:font w:name="等线">
    <w:panose1 w:val="02010600030101010101"/>
  </w:font>
  <w:font w:name="Courier New">
    <w:panose1 w:val="02070309020205020404"/>
  </w:font>
  <w:font w:name="仿宋_GB2312">
    <w:panose1 w:val="02010609060101010101"/>
  </w:font>
  <w:font w:name="黑体">
    <w:panose1 w:val="02010609060101010101"/>
  </w:font>
  <w:font w:name="幼圆">
    <w:panose1 w:val="02010509060101010101"/>
  </w:font>
  <w:font w:name="Calibri">
    <w:panose1 w:val="020F0502020204030204"/>
  </w:font>
  <w:font w:name="楷体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pPr>
    <w:r>
      <w:fldChar w:fldCharType="begin"/>
    </w:r>
    <w:r>
      <w:instrText xml:space="preserve"> PAGE   \* MERGEFORMAT </w:instrText>
    </w:r>
    <w:r>
      <w:fldChar w:fldCharType="separate"/>
    </w:r>
    <w:r>
      <w:rPr>
        <w:lang w:val="zh-CN"/>
      </w:rPr>
      <w:t xml:space="preserve">7</w:t>
    </w:r>
    <w:r>
      <w:rPr>
        <w:lang w:val="zh-CN"/>
      </w:rPr>
      <w:fldChar w:fldCharType="end"/>
    </w:r>
    <w:r/>
  </w:p>
  <w:p>
    <w:pPr>
      <w:pStyle w:val="10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10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pPr>
    <w:r>
      <w:fldChar w:fldCharType="begin"/>
    </w:r>
    <w:r>
      <w:instrText xml:space="preserve"> PAGE   \* MERGEFORMAT </w:instrText>
    </w:r>
    <w:r>
      <w:fldChar w:fldCharType="separate"/>
    </w:r>
    <w:r>
      <w:rPr>
        <w:lang w:val="zh-CN"/>
      </w:rPr>
      <w:t xml:space="preserve">25</w:t>
    </w:r>
    <w:r>
      <w:fldChar w:fldCharType="end"/>
    </w:r>
    <w:r/>
  </w:p>
  <w:p>
    <w:pPr>
      <w:pStyle w:val="106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76</w:t>
    </w:r>
    <w:r>
      <w:rPr>
        <w:lang w:val="zh-CN"/>
      </w:rPr>
      <w:fldChar w:fldCharType="end"/>
    </w:r>
    <w:r/>
  </w:p>
  <w:p>
    <w:pPr>
      <w:pStyle w:val="106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pPr>
    <w:r>
      <w:fldChar w:fldCharType="begin"/>
    </w:r>
    <w:r>
      <w:rPr>
        <w:rStyle w:val="1073"/>
        <w:highlight w:val="white"/>
      </w:rPr>
      <w:instrText xml:space="preserve"> PAGE </w:instrText>
    </w:r>
    <w:r>
      <w:fldChar w:fldCharType="separate"/>
    </w:r>
    <w:r>
      <w:rPr>
        <w:rStyle w:val="1073"/>
        <w:highlight w:val="white"/>
      </w:rPr>
      <w:t xml:space="preserve">58</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83"/>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082"/>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07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
  </w:num>
  <w:num w:numId="6">
    <w:abstractNumId w:val="12"/>
  </w:num>
  <w:num w:numId="7">
    <w:abstractNumId w:val="17"/>
  </w:num>
  <w:num w:numId="8">
    <w:abstractNumId w:val="9"/>
  </w:num>
  <w:num w:numId="9">
    <w:abstractNumId w:val="0"/>
  </w:num>
  <w:num w:numId="10">
    <w:abstractNumId w:val="13"/>
  </w:num>
  <w:num w:numId="11">
    <w:abstractNumId w:val="16"/>
  </w:num>
  <w:num w:numId="12">
    <w:abstractNumId w:val="3"/>
  </w:num>
  <w:num w:numId="13">
    <w:abstractNumId w:val="15"/>
  </w:num>
  <w:num w:numId="14">
    <w:abstractNumId w:val="7"/>
  </w:num>
  <w:num w:numId="15">
    <w:abstractNumId w:val="11"/>
  </w:num>
  <w:num w:numId="16">
    <w:abstractNumId w:val="6"/>
  </w:num>
  <w:num w:numId="17">
    <w:abstractNumId w:val="5"/>
  </w:num>
  <w:num w:numId="18">
    <w:abstractNumId w:val="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8">
    <w:name w:val="Heading 1"/>
    <w:basedOn w:val="767"/>
    <w:next w:val="767"/>
    <w:uiPriority w:val="9"/>
    <w:qFormat/>
    <w:pPr>
      <w:keepLines/>
      <w:keepNext/>
      <w:spacing w:before="480" w:after="200"/>
      <w:outlineLvl w:val="0"/>
    </w:pPr>
    <w:rPr>
      <w:rFonts w:ascii="Arial" w:hAnsi="Arial" w:eastAsia="Arial" w:cs="Arial"/>
      <w:sz w:val="40"/>
      <w:szCs w:val="40"/>
    </w:rPr>
  </w:style>
  <w:style w:type="paragraph" w:styleId="769">
    <w:name w:val="Heading 2"/>
    <w:basedOn w:val="767"/>
    <w:next w:val="767"/>
    <w:uiPriority w:val="9"/>
    <w:unhideWhenUsed/>
    <w:qFormat/>
    <w:pPr>
      <w:keepLines/>
      <w:keepNext/>
      <w:spacing w:before="360" w:after="200"/>
      <w:outlineLvl w:val="1"/>
    </w:pPr>
    <w:rPr>
      <w:rFonts w:ascii="Arial" w:hAnsi="Arial" w:eastAsia="Arial" w:cs="Arial"/>
      <w:sz w:val="34"/>
    </w:rPr>
  </w:style>
  <w:style w:type="paragraph" w:styleId="770">
    <w:name w:val="Heading 3"/>
    <w:basedOn w:val="767"/>
    <w:next w:val="779"/>
    <w:uiPriority w:val="9"/>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uiPriority w:val="9"/>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uiPriority w:val="9"/>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uiPriority w:val="9"/>
    <w:unhideWhenUsed/>
    <w:qFormat/>
    <w:pPr>
      <w:keepLines/>
      <w:keepNext/>
      <w:spacing w:before="320" w:after="200"/>
      <w:outlineLvl w:val="5"/>
    </w:pPr>
    <w:rPr>
      <w:rFonts w:ascii="Arial" w:hAnsi="Arial" w:eastAsia="Arial" w:cs="Arial"/>
      <w:b/>
      <w:bCs/>
      <w:sz w:val="22"/>
    </w:rPr>
  </w:style>
  <w:style w:type="paragraph" w:styleId="774">
    <w:name w:val="Heading 7"/>
    <w:basedOn w:val="767"/>
    <w:next w:val="767"/>
    <w:uiPriority w:val="9"/>
    <w:unhideWhenUsed/>
    <w:qFormat/>
    <w:pPr>
      <w:keepLines/>
      <w:keepNext/>
      <w:spacing w:before="320" w:after="200"/>
      <w:outlineLvl w:val="6"/>
    </w:pPr>
    <w:rPr>
      <w:rFonts w:ascii="Arial" w:hAnsi="Arial" w:eastAsia="Arial" w:cs="Arial"/>
      <w:b/>
      <w:bCs/>
      <w:i/>
      <w:iCs/>
      <w:sz w:val="22"/>
    </w:rPr>
  </w:style>
  <w:style w:type="paragraph" w:styleId="775">
    <w:name w:val="Heading 8"/>
    <w:basedOn w:val="767"/>
    <w:next w:val="767"/>
    <w:uiPriority w:val="9"/>
    <w:unhideWhenUsed/>
    <w:qFormat/>
    <w:pPr>
      <w:keepLines/>
      <w:keepNext/>
      <w:spacing w:before="320" w:after="200"/>
      <w:outlineLvl w:val="7"/>
    </w:pPr>
    <w:rPr>
      <w:rFonts w:ascii="Arial" w:hAnsi="Arial" w:eastAsia="Arial" w:cs="Arial"/>
      <w:i/>
      <w:iCs/>
      <w:sz w:val="22"/>
    </w:rPr>
  </w:style>
  <w:style w:type="paragraph" w:styleId="776">
    <w:name w:val="Heading 9"/>
    <w:basedOn w:val="767"/>
    <w:next w:val="767"/>
    <w:uiPriority w:val="9"/>
    <w:unhideWhenUsed/>
    <w:qFormat/>
    <w:pPr>
      <w:keepLines/>
      <w:keepNext/>
      <w:spacing w:before="320" w:after="200"/>
      <w:outlineLvl w:val="8"/>
    </w:pPr>
    <w:rPr>
      <w:rFonts w:ascii="Arial" w:hAnsi="Arial" w:eastAsia="Arial" w:cs="Arial"/>
      <w:i/>
      <w:iCs/>
      <w:szCs w:val="21"/>
    </w:rPr>
  </w:style>
  <w:style w:type="character" w:styleId="777" w:default="1">
    <w:name w:val="Default Paragraph Font"/>
    <w:uiPriority w:val="1"/>
    <w:semiHidden/>
    <w:unhideWhenUsed/>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customStyle="1">
    <w:name w:val="正文缩进11"/>
    <w:basedOn w:val="767"/>
    <w:link w:val="1152"/>
    <w:uiPriority w:val="0"/>
    <w:unhideWhenUsed/>
    <w:qFormat/>
    <w:pPr>
      <w:ind w:firstLine="420"/>
    </w:pPr>
    <w:rPr>
      <w:sz w:val="20"/>
      <w:szCs w:val="24"/>
    </w:rPr>
  </w:style>
  <w:style w:type="paragraph" w:styleId="780">
    <w:name w:val="toc 7"/>
    <w:basedOn w:val="767"/>
    <w:next w:val="767"/>
    <w:uiPriority w:val="39"/>
    <w:unhideWhenUsed/>
    <w:qFormat/>
    <w:pPr>
      <w:ind w:left="1701"/>
      <w:spacing w:after="57"/>
    </w:pPr>
  </w:style>
  <w:style w:type="paragraph" w:styleId="781">
    <w:name w:val="Caption"/>
    <w:basedOn w:val="767"/>
    <w:next w:val="767"/>
    <w:uiPriority w:val="35"/>
    <w:semiHidden/>
    <w:unhideWhenUsed/>
    <w:qFormat/>
    <w:pPr>
      <w:spacing w:line="276" w:lineRule="auto"/>
    </w:pPr>
    <w:rPr>
      <w:b/>
      <w:bCs/>
      <w:color w:val="4f81bd" w:themeColor="accent1"/>
      <w:sz w:val="18"/>
      <w:szCs w:val="18"/>
    </w:rPr>
  </w:style>
  <w:style w:type="paragraph" w:styleId="782">
    <w:name w:val="toc 5"/>
    <w:basedOn w:val="767"/>
    <w:next w:val="767"/>
    <w:uiPriority w:val="39"/>
    <w:unhideWhenUsed/>
    <w:qFormat/>
    <w:pPr>
      <w:ind w:left="1134"/>
      <w:spacing w:after="57"/>
    </w:pPr>
  </w:style>
  <w:style w:type="paragraph" w:styleId="783">
    <w:name w:val="toc 3"/>
    <w:basedOn w:val="767"/>
    <w:next w:val="767"/>
    <w:uiPriority w:val="39"/>
    <w:unhideWhenUsed/>
    <w:qFormat/>
    <w:pPr>
      <w:ind w:left="567"/>
      <w:spacing w:after="57"/>
    </w:pPr>
  </w:style>
  <w:style w:type="paragraph" w:styleId="784">
    <w:name w:val="toc 8"/>
    <w:basedOn w:val="767"/>
    <w:next w:val="767"/>
    <w:uiPriority w:val="39"/>
    <w:unhideWhenUsed/>
    <w:qFormat/>
    <w:pPr>
      <w:ind w:left="1984"/>
      <w:spacing w:after="57"/>
    </w:pPr>
  </w:style>
  <w:style w:type="paragraph" w:styleId="785">
    <w:name w:val="endnote text"/>
    <w:basedOn w:val="767"/>
    <w:uiPriority w:val="99"/>
    <w:semiHidden/>
    <w:unhideWhenUsed/>
    <w:qFormat/>
    <w:rPr>
      <w:sz w:val="20"/>
    </w:rPr>
  </w:style>
  <w:style w:type="paragraph" w:styleId="786">
    <w:name w:val="Footer"/>
    <w:basedOn w:val="767"/>
    <w:uiPriority w:val="99"/>
    <w:unhideWhenUsed/>
    <w:qFormat/>
    <w:pPr>
      <w:tabs>
        <w:tab w:val="center" w:pos="7143" w:leader="none"/>
        <w:tab w:val="right" w:pos="14287" w:leader="none"/>
      </w:tabs>
    </w:pPr>
  </w:style>
  <w:style w:type="paragraph" w:styleId="787">
    <w:name w:val="Header"/>
    <w:basedOn w:val="767"/>
    <w:uiPriority w:val="99"/>
    <w:unhideWhenUsed/>
    <w:qFormat/>
    <w:pPr>
      <w:tabs>
        <w:tab w:val="center" w:pos="7143" w:leader="none"/>
        <w:tab w:val="right" w:pos="14287" w:leader="none"/>
      </w:tabs>
    </w:pPr>
  </w:style>
  <w:style w:type="paragraph" w:styleId="788">
    <w:name w:val="toc 1"/>
    <w:basedOn w:val="767"/>
    <w:next w:val="767"/>
    <w:uiPriority w:val="39"/>
    <w:unhideWhenUsed/>
    <w:qFormat/>
    <w:pPr>
      <w:spacing w:after="57"/>
    </w:pPr>
  </w:style>
  <w:style w:type="paragraph" w:styleId="789">
    <w:name w:val="toc 4"/>
    <w:basedOn w:val="767"/>
    <w:next w:val="767"/>
    <w:uiPriority w:val="39"/>
    <w:unhideWhenUsed/>
    <w:qFormat/>
    <w:pPr>
      <w:ind w:left="850"/>
      <w:spacing w:after="57"/>
    </w:pPr>
  </w:style>
  <w:style w:type="paragraph" w:styleId="790">
    <w:name w:val="Subtitle"/>
    <w:basedOn w:val="767"/>
    <w:next w:val="767"/>
    <w:uiPriority w:val="11"/>
    <w:qFormat/>
    <w:pPr>
      <w:spacing w:before="200" w:after="200"/>
    </w:pPr>
    <w:rPr>
      <w:sz w:val="24"/>
      <w:szCs w:val="24"/>
    </w:rPr>
  </w:style>
  <w:style w:type="paragraph" w:styleId="791">
    <w:name w:val="footnote text"/>
    <w:basedOn w:val="767"/>
    <w:uiPriority w:val="99"/>
    <w:semiHidden/>
    <w:unhideWhenUsed/>
    <w:qFormat/>
    <w:pPr>
      <w:spacing w:after="40"/>
    </w:pPr>
    <w:rPr>
      <w:sz w:val="18"/>
    </w:rPr>
  </w:style>
  <w:style w:type="paragraph" w:styleId="792">
    <w:name w:val="toc 6"/>
    <w:basedOn w:val="767"/>
    <w:next w:val="767"/>
    <w:uiPriority w:val="39"/>
    <w:unhideWhenUsed/>
    <w:qFormat/>
    <w:pPr>
      <w:ind w:left="1417"/>
      <w:spacing w:after="57"/>
    </w:pPr>
  </w:style>
  <w:style w:type="paragraph" w:styleId="793">
    <w:name w:val="table of figures"/>
    <w:basedOn w:val="767"/>
    <w:next w:val="767"/>
    <w:uiPriority w:val="99"/>
    <w:unhideWhenUsed/>
    <w:qFormat/>
  </w:style>
  <w:style w:type="paragraph" w:styleId="794">
    <w:name w:val="toc 2"/>
    <w:basedOn w:val="767"/>
    <w:next w:val="767"/>
    <w:uiPriority w:val="39"/>
    <w:unhideWhenUsed/>
    <w:qFormat/>
    <w:pPr>
      <w:ind w:left="283"/>
      <w:spacing w:after="57"/>
    </w:pPr>
  </w:style>
  <w:style w:type="paragraph" w:styleId="795">
    <w:name w:val="toc 9"/>
    <w:basedOn w:val="767"/>
    <w:next w:val="767"/>
    <w:uiPriority w:val="39"/>
    <w:unhideWhenUsed/>
    <w:qFormat/>
    <w:pPr>
      <w:ind w:left="2268"/>
      <w:spacing w:after="57"/>
    </w:pPr>
  </w:style>
  <w:style w:type="paragraph" w:styleId="796">
    <w:name w:val="Normal (Web)"/>
    <w:basedOn w:val="767"/>
    <w:uiPriority w:val="0"/>
    <w:qFormat/>
    <w:rPr>
      <w:sz w:val="24"/>
    </w:rPr>
  </w:style>
  <w:style w:type="paragraph" w:styleId="797">
    <w:name w:val="Title"/>
    <w:basedOn w:val="767"/>
    <w:next w:val="767"/>
    <w:uiPriority w:val="10"/>
    <w:qFormat/>
    <w:pPr>
      <w:contextualSpacing/>
      <w:spacing w:before="300" w:after="200"/>
    </w:pPr>
    <w:rPr>
      <w:sz w:val="48"/>
      <w:szCs w:val="48"/>
    </w:rPr>
  </w:style>
  <w:style w:type="table" w:styleId="7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endnote reference"/>
    <w:uiPriority w:val="99"/>
    <w:semiHidden/>
    <w:unhideWhenUsed/>
    <w:qFormat/>
    <w:rPr>
      <w:vertAlign w:val="superscript"/>
    </w:rPr>
  </w:style>
  <w:style w:type="character" w:styleId="800">
    <w:name w:val="Hyperlink"/>
    <w:basedOn w:val="777"/>
    <w:uiPriority w:val="99"/>
    <w:unhideWhenUsed/>
    <w:qFormat/>
    <w:rPr>
      <w:color w:val="0000ff" w:themeColor="hyperlink"/>
      <w:u w:val="single"/>
    </w:rPr>
  </w:style>
  <w:style w:type="character" w:styleId="801">
    <w:name w:val="footnote reference"/>
    <w:uiPriority w:val="99"/>
    <w:unhideWhenUsed/>
    <w:qFormat/>
    <w:rPr>
      <w:vertAlign w:val="superscript"/>
    </w:rPr>
  </w:style>
  <w:style w:type="paragraph" w:styleId="802" w:customStyle="1">
    <w:name w:val="TOC Heading"/>
    <w:uiPriority w:val="39"/>
    <w:unhideWhenUsed/>
    <w:rPr>
      <w:rFonts w:hint="default" w:ascii="Times New Roman" w:hAnsi="Times New Roman" w:eastAsia="宋体" w:cs="Times New Roman"/>
    </w:rPr>
  </w:style>
  <w:style w:type="paragraph" w:styleId="803" w:customStyle="1">
    <w:name w:val="列表段落1"/>
    <w:basedOn w:val="767"/>
    <w:uiPriority w:val="99"/>
    <w:qFormat/>
    <w:pPr>
      <w:ind w:firstLine="420"/>
    </w:pPr>
    <w:rPr>
      <w:szCs w:val="20"/>
    </w:rPr>
  </w:style>
  <w:style w:type="paragraph" w:styleId="804" w:customStyle="1">
    <w:name w:val="正文文本11"/>
    <w:basedOn w:val="767"/>
    <w:uiPriority w:val="0"/>
    <w:qFormat/>
    <w:rPr>
      <w:rFonts w:ascii="楷体_GB2312" w:hAnsi="Arial" w:eastAsia="楷体_GB2312"/>
      <w:sz w:val="28"/>
      <w:szCs w:val="20"/>
    </w:rPr>
  </w:style>
  <w:style w:type="paragraph" w:styleId="805" w:customStyle="1">
    <w:name w:val="标题 111"/>
    <w:basedOn w:val="767"/>
    <w:next w:val="767"/>
    <w:link w:val="816"/>
    <w:uiPriority w:val="0"/>
    <w:qFormat/>
    <w:pPr>
      <w:keepLines/>
      <w:keepNext/>
      <w:spacing w:before="480" w:after="200"/>
      <w:outlineLvl w:val="0"/>
    </w:pPr>
    <w:rPr>
      <w:rFonts w:ascii="Arial" w:hAnsi="Arial" w:eastAsia="Arial" w:cs="Arial"/>
      <w:sz w:val="40"/>
      <w:szCs w:val="40"/>
    </w:rPr>
  </w:style>
  <w:style w:type="paragraph" w:styleId="806" w:customStyle="1">
    <w:name w:val="标题 211"/>
    <w:basedOn w:val="767"/>
    <w:next w:val="767"/>
    <w:link w:val="817"/>
    <w:uiPriority w:val="9"/>
    <w:unhideWhenUsed/>
    <w:qFormat/>
    <w:pPr>
      <w:keepLines/>
      <w:keepNext/>
      <w:spacing w:before="360" w:after="200"/>
      <w:outlineLvl w:val="1"/>
    </w:pPr>
    <w:rPr>
      <w:rFonts w:ascii="Arial" w:hAnsi="Arial" w:eastAsia="Arial" w:cs="Arial"/>
      <w:sz w:val="34"/>
    </w:rPr>
  </w:style>
  <w:style w:type="paragraph" w:styleId="807" w:customStyle="1">
    <w:name w:val="标题 311"/>
    <w:basedOn w:val="767"/>
    <w:next w:val="767"/>
    <w:link w:val="818"/>
    <w:uiPriority w:val="0"/>
    <w:unhideWhenUsed/>
    <w:qFormat/>
    <w:pPr>
      <w:keepLines/>
      <w:keepNext/>
      <w:spacing w:before="320" w:after="200"/>
      <w:outlineLvl w:val="2"/>
    </w:pPr>
    <w:rPr>
      <w:rFonts w:ascii="Arial" w:hAnsi="Arial" w:eastAsia="Arial" w:cs="Arial"/>
      <w:sz w:val="30"/>
      <w:szCs w:val="30"/>
    </w:rPr>
  </w:style>
  <w:style w:type="paragraph" w:styleId="808" w:customStyle="1">
    <w:name w:val="标题 411"/>
    <w:basedOn w:val="767"/>
    <w:next w:val="767"/>
    <w:link w:val="819"/>
    <w:uiPriority w:val="0"/>
    <w:unhideWhenUsed/>
    <w:qFormat/>
    <w:pPr>
      <w:keepLines/>
      <w:keepNext/>
      <w:spacing w:before="320" w:after="200"/>
      <w:outlineLvl w:val="3"/>
    </w:pPr>
    <w:rPr>
      <w:rFonts w:ascii="Arial" w:hAnsi="Arial" w:eastAsia="Arial" w:cs="Arial"/>
      <w:b/>
      <w:bCs/>
      <w:sz w:val="26"/>
      <w:szCs w:val="26"/>
    </w:rPr>
  </w:style>
  <w:style w:type="paragraph" w:styleId="809" w:customStyle="1">
    <w:name w:val="标题 51"/>
    <w:basedOn w:val="767"/>
    <w:next w:val="767"/>
    <w:link w:val="820"/>
    <w:uiPriority w:val="9"/>
    <w:unhideWhenUsed/>
    <w:qFormat/>
    <w:pPr>
      <w:keepLines/>
      <w:keepNext/>
      <w:spacing w:before="320" w:after="200"/>
      <w:outlineLvl w:val="4"/>
    </w:pPr>
    <w:rPr>
      <w:rFonts w:ascii="Arial" w:hAnsi="Arial" w:eastAsia="Arial" w:cs="Arial"/>
      <w:b/>
      <w:bCs/>
      <w:sz w:val="24"/>
      <w:szCs w:val="24"/>
    </w:rPr>
  </w:style>
  <w:style w:type="paragraph" w:styleId="810" w:customStyle="1">
    <w:name w:val="标题 61"/>
    <w:basedOn w:val="767"/>
    <w:next w:val="767"/>
    <w:link w:val="821"/>
    <w:uiPriority w:val="9"/>
    <w:unhideWhenUsed/>
    <w:qFormat/>
    <w:pPr>
      <w:keepLines/>
      <w:keepNext/>
      <w:spacing w:before="320" w:after="200"/>
      <w:outlineLvl w:val="5"/>
    </w:pPr>
    <w:rPr>
      <w:rFonts w:ascii="Arial" w:hAnsi="Arial" w:eastAsia="Arial" w:cs="Arial"/>
      <w:b/>
      <w:bCs/>
      <w:sz w:val="22"/>
    </w:rPr>
  </w:style>
  <w:style w:type="paragraph" w:styleId="811" w:customStyle="1">
    <w:name w:val="标题 711"/>
    <w:basedOn w:val="767"/>
    <w:next w:val="767"/>
    <w:link w:val="822"/>
    <w:uiPriority w:val="9"/>
    <w:unhideWhenUsed/>
    <w:qFormat/>
    <w:pPr>
      <w:keepLines/>
      <w:keepNext/>
      <w:spacing w:before="320" w:after="200"/>
      <w:outlineLvl w:val="6"/>
    </w:pPr>
    <w:rPr>
      <w:rFonts w:ascii="Arial" w:hAnsi="Arial" w:eastAsia="Arial" w:cs="Arial"/>
      <w:b/>
      <w:bCs/>
      <w:i/>
      <w:iCs/>
      <w:sz w:val="22"/>
    </w:rPr>
  </w:style>
  <w:style w:type="paragraph" w:styleId="812" w:customStyle="1">
    <w:name w:val="标题 81"/>
    <w:basedOn w:val="767"/>
    <w:next w:val="767"/>
    <w:link w:val="823"/>
    <w:uiPriority w:val="9"/>
    <w:unhideWhenUsed/>
    <w:qFormat/>
    <w:pPr>
      <w:keepLines/>
      <w:keepNext/>
      <w:spacing w:before="320" w:after="200"/>
      <w:outlineLvl w:val="7"/>
    </w:pPr>
    <w:rPr>
      <w:rFonts w:ascii="Arial" w:hAnsi="Arial" w:eastAsia="Arial" w:cs="Arial"/>
      <w:i/>
      <w:iCs/>
      <w:sz w:val="22"/>
    </w:rPr>
  </w:style>
  <w:style w:type="paragraph" w:styleId="813" w:customStyle="1">
    <w:name w:val="标题 91"/>
    <w:basedOn w:val="767"/>
    <w:next w:val="767"/>
    <w:link w:val="824"/>
    <w:uiPriority w:val="9"/>
    <w:unhideWhenUsed/>
    <w:qFormat/>
    <w:pPr>
      <w:keepLines/>
      <w:keepNext/>
      <w:spacing w:before="320" w:after="200"/>
      <w:outlineLvl w:val="8"/>
    </w:pPr>
    <w:rPr>
      <w:rFonts w:ascii="Arial" w:hAnsi="Arial" w:eastAsia="Arial" w:cs="Arial"/>
      <w:i/>
      <w:iCs/>
      <w:szCs w:val="21"/>
    </w:rPr>
  </w:style>
  <w:style w:type="character" w:styleId="814" w:customStyle="1">
    <w:name w:val="默认段落字体12"/>
    <w:uiPriority w:val="1"/>
    <w:unhideWhenUsed/>
    <w:qFormat/>
  </w:style>
  <w:style w:type="table" w:styleId="815" w:customStyle="1">
    <w:name w:val="普通表格11"/>
    <w:uiPriority w:val="99"/>
    <w:unhideWhenUsed/>
    <w:qFormat/>
    <w:tblPr>
      <w:tblCellMar>
        <w:left w:w="0" w:type="dxa"/>
        <w:top w:w="0" w:type="dxa"/>
        <w:right w:w="0" w:type="dxa"/>
        <w:bottom w:w="0" w:type="dxa"/>
      </w:tblCellMar>
    </w:tblPr>
  </w:style>
  <w:style w:type="character" w:styleId="816" w:customStyle="1">
    <w:name w:val="标题 1 字符"/>
    <w:link w:val="805"/>
    <w:uiPriority w:val="9"/>
    <w:qFormat/>
    <w:rPr>
      <w:rFonts w:ascii="Arial" w:hAnsi="Arial" w:eastAsia="Arial" w:cs="Arial"/>
      <w:sz w:val="40"/>
      <w:szCs w:val="40"/>
    </w:rPr>
  </w:style>
  <w:style w:type="character" w:styleId="817" w:customStyle="1">
    <w:name w:val="标题 2 字符"/>
    <w:link w:val="806"/>
    <w:uiPriority w:val="9"/>
    <w:qFormat/>
    <w:rPr>
      <w:rFonts w:ascii="Arial" w:hAnsi="Arial" w:eastAsia="Arial" w:cs="Arial"/>
      <w:sz w:val="34"/>
    </w:rPr>
  </w:style>
  <w:style w:type="character" w:styleId="818" w:customStyle="1">
    <w:name w:val="标题 3 字符"/>
    <w:link w:val="807"/>
    <w:uiPriority w:val="9"/>
    <w:qFormat/>
    <w:rPr>
      <w:rFonts w:ascii="Arial" w:hAnsi="Arial" w:eastAsia="Arial" w:cs="Arial"/>
      <w:sz w:val="30"/>
      <w:szCs w:val="30"/>
    </w:rPr>
  </w:style>
  <w:style w:type="character" w:styleId="819" w:customStyle="1">
    <w:name w:val="标题 4 字符"/>
    <w:link w:val="808"/>
    <w:uiPriority w:val="9"/>
    <w:qFormat/>
    <w:rPr>
      <w:rFonts w:ascii="Arial" w:hAnsi="Arial" w:eastAsia="Arial" w:cs="Arial"/>
      <w:b/>
      <w:bCs/>
      <w:sz w:val="26"/>
      <w:szCs w:val="26"/>
    </w:rPr>
  </w:style>
  <w:style w:type="character" w:styleId="820" w:customStyle="1">
    <w:name w:val="标题 5 字符"/>
    <w:link w:val="809"/>
    <w:uiPriority w:val="9"/>
    <w:qFormat/>
    <w:rPr>
      <w:rFonts w:ascii="Arial" w:hAnsi="Arial" w:eastAsia="Arial" w:cs="Arial"/>
      <w:b/>
      <w:bCs/>
      <w:sz w:val="24"/>
      <w:szCs w:val="24"/>
    </w:rPr>
  </w:style>
  <w:style w:type="character" w:styleId="821" w:customStyle="1">
    <w:name w:val="标题 6 字符"/>
    <w:link w:val="810"/>
    <w:uiPriority w:val="9"/>
    <w:qFormat/>
    <w:rPr>
      <w:rFonts w:ascii="Arial" w:hAnsi="Arial" w:eastAsia="Arial" w:cs="Arial"/>
      <w:b/>
      <w:bCs/>
      <w:sz w:val="22"/>
      <w:szCs w:val="22"/>
    </w:rPr>
  </w:style>
  <w:style w:type="character" w:styleId="822" w:customStyle="1">
    <w:name w:val="标题 7 字符"/>
    <w:link w:val="811"/>
    <w:uiPriority w:val="9"/>
    <w:qFormat/>
    <w:rPr>
      <w:rFonts w:ascii="Arial" w:hAnsi="Arial" w:eastAsia="Arial" w:cs="Arial"/>
      <w:b/>
      <w:bCs/>
      <w:i/>
      <w:iCs/>
      <w:sz w:val="22"/>
      <w:szCs w:val="22"/>
    </w:rPr>
  </w:style>
  <w:style w:type="character" w:styleId="823" w:customStyle="1">
    <w:name w:val="标题 8 字符"/>
    <w:link w:val="812"/>
    <w:uiPriority w:val="9"/>
    <w:qFormat/>
    <w:rPr>
      <w:rFonts w:ascii="Arial" w:hAnsi="Arial" w:eastAsia="Arial" w:cs="Arial"/>
      <w:i/>
      <w:iCs/>
      <w:sz w:val="22"/>
      <w:szCs w:val="22"/>
    </w:rPr>
  </w:style>
  <w:style w:type="character" w:styleId="824" w:customStyle="1">
    <w:name w:val="标题 9 字符"/>
    <w:link w:val="813"/>
    <w:uiPriority w:val="9"/>
    <w:qFormat/>
    <w:rPr>
      <w:rFonts w:ascii="Arial" w:hAnsi="Arial" w:eastAsia="Arial" w:cs="Arial"/>
      <w:i/>
      <w:iCs/>
      <w:sz w:val="21"/>
      <w:szCs w:val="21"/>
    </w:rPr>
  </w:style>
  <w:style w:type="paragraph" w:styleId="825" w:customStyle="1">
    <w:name w:val="目录 71"/>
    <w:basedOn w:val="767"/>
    <w:next w:val="767"/>
    <w:uiPriority w:val="39"/>
    <w:unhideWhenUsed/>
    <w:qFormat/>
    <w:pPr>
      <w:ind w:left="1701"/>
      <w:spacing w:after="57"/>
    </w:pPr>
  </w:style>
  <w:style w:type="paragraph" w:styleId="826" w:customStyle="1">
    <w:name w:val="题注1"/>
    <w:basedOn w:val="767"/>
    <w:next w:val="767"/>
    <w:uiPriority w:val="35"/>
    <w:unhideWhenUsed/>
    <w:qFormat/>
    <w:pPr>
      <w:spacing w:line="276" w:lineRule="auto"/>
    </w:pPr>
    <w:rPr>
      <w:b/>
      <w:bCs/>
      <w:color w:val="4f81bd"/>
      <w:sz w:val="18"/>
      <w:szCs w:val="18"/>
    </w:rPr>
  </w:style>
  <w:style w:type="paragraph" w:styleId="827" w:customStyle="1">
    <w:name w:val="批注文字11"/>
    <w:basedOn w:val="767"/>
    <w:link w:val="828"/>
    <w:uiPriority w:val="0"/>
    <w:qFormat/>
    <w:pPr>
      <w:jc w:val="left"/>
    </w:pPr>
    <w:rPr>
      <w:rFonts w:ascii="Calibri" w:hAnsi="Calibri"/>
    </w:rPr>
  </w:style>
  <w:style w:type="character" w:styleId="828" w:customStyle="1">
    <w:name w:val="批注文字 字符"/>
    <w:link w:val="827"/>
    <w:uiPriority w:val="0"/>
    <w:qFormat/>
    <w:rPr>
      <w:rFonts w:ascii="Calibri" w:hAnsi="Calibri"/>
      <w:sz w:val="21"/>
      <w:szCs w:val="22"/>
    </w:rPr>
  </w:style>
  <w:style w:type="paragraph" w:styleId="829" w:customStyle="1">
    <w:name w:val="目录 51"/>
    <w:basedOn w:val="767"/>
    <w:next w:val="767"/>
    <w:uiPriority w:val="39"/>
    <w:unhideWhenUsed/>
    <w:qFormat/>
    <w:pPr>
      <w:ind w:left="1134"/>
      <w:spacing w:after="57"/>
    </w:pPr>
  </w:style>
  <w:style w:type="paragraph" w:styleId="830" w:customStyle="1">
    <w:name w:val="目录 311"/>
    <w:basedOn w:val="767"/>
    <w:next w:val="767"/>
    <w:uiPriority w:val="39"/>
    <w:unhideWhenUsed/>
    <w:qFormat/>
    <w:pPr>
      <w:ind w:left="567"/>
      <w:spacing w:after="57"/>
    </w:pPr>
  </w:style>
  <w:style w:type="paragraph" w:styleId="831" w:customStyle="1">
    <w:name w:val="目录 81"/>
    <w:basedOn w:val="767"/>
    <w:next w:val="767"/>
    <w:uiPriority w:val="39"/>
    <w:unhideWhenUsed/>
    <w:qFormat/>
    <w:pPr>
      <w:ind w:left="1984"/>
      <w:spacing w:after="57"/>
    </w:pPr>
  </w:style>
  <w:style w:type="paragraph" w:styleId="832" w:customStyle="1">
    <w:name w:val="尾注文本1"/>
    <w:basedOn w:val="767"/>
    <w:link w:val="833"/>
    <w:uiPriority w:val="99"/>
    <w:unhideWhenUsed/>
    <w:qFormat/>
    <w:rPr>
      <w:sz w:val="20"/>
    </w:rPr>
  </w:style>
  <w:style w:type="character" w:styleId="833" w:customStyle="1">
    <w:name w:val="尾注文本 字符"/>
    <w:link w:val="832"/>
    <w:uiPriority w:val="99"/>
    <w:qFormat/>
    <w:rPr>
      <w:sz w:val="20"/>
    </w:rPr>
  </w:style>
  <w:style w:type="paragraph" w:styleId="834" w:customStyle="1">
    <w:name w:val="批注框文本11"/>
    <w:basedOn w:val="767"/>
    <w:link w:val="835"/>
    <w:uiPriority w:val="99"/>
    <w:unhideWhenUsed/>
    <w:qFormat/>
    <w:rPr>
      <w:sz w:val="18"/>
      <w:szCs w:val="18"/>
    </w:rPr>
  </w:style>
  <w:style w:type="character" w:styleId="835" w:customStyle="1">
    <w:name w:val="批注框文本 字符"/>
    <w:link w:val="834"/>
    <w:uiPriority w:val="99"/>
    <w:semiHidden/>
    <w:qFormat/>
    <w:rPr>
      <w:sz w:val="18"/>
      <w:szCs w:val="18"/>
    </w:rPr>
  </w:style>
  <w:style w:type="paragraph" w:styleId="836" w:customStyle="1">
    <w:name w:val="页脚11"/>
    <w:basedOn w:val="767"/>
    <w:link w:val="837"/>
    <w:uiPriority w:val="99"/>
    <w:unhideWhenUsed/>
    <w:qFormat/>
    <w:pPr>
      <w:tabs>
        <w:tab w:val="center" w:pos="7143" w:leader="none"/>
        <w:tab w:val="right" w:pos="14287" w:leader="none"/>
      </w:tabs>
    </w:pPr>
  </w:style>
  <w:style w:type="character" w:styleId="837" w:customStyle="1">
    <w:name w:val="页脚 字符1"/>
    <w:link w:val="836"/>
    <w:uiPriority w:val="99"/>
    <w:qFormat/>
  </w:style>
  <w:style w:type="paragraph" w:styleId="838" w:customStyle="1">
    <w:name w:val="页眉11"/>
    <w:basedOn w:val="767"/>
    <w:link w:val="839"/>
    <w:uiPriority w:val="99"/>
    <w:unhideWhenUsed/>
    <w:qFormat/>
    <w:pPr>
      <w:tabs>
        <w:tab w:val="center" w:pos="7143" w:leader="none"/>
        <w:tab w:val="right" w:pos="14287" w:leader="none"/>
      </w:tabs>
    </w:pPr>
  </w:style>
  <w:style w:type="character" w:styleId="839" w:customStyle="1">
    <w:name w:val="页眉 字符1"/>
    <w:link w:val="838"/>
    <w:uiPriority w:val="99"/>
    <w:qFormat/>
  </w:style>
  <w:style w:type="paragraph" w:styleId="840" w:customStyle="1">
    <w:name w:val="目录 111"/>
    <w:basedOn w:val="767"/>
    <w:next w:val="767"/>
    <w:uiPriority w:val="39"/>
    <w:unhideWhenUsed/>
    <w:qFormat/>
    <w:pPr>
      <w:spacing w:after="57"/>
    </w:pPr>
  </w:style>
  <w:style w:type="paragraph" w:styleId="841" w:customStyle="1">
    <w:name w:val="目录 41"/>
    <w:basedOn w:val="767"/>
    <w:next w:val="767"/>
    <w:uiPriority w:val="39"/>
    <w:unhideWhenUsed/>
    <w:qFormat/>
    <w:pPr>
      <w:ind w:left="850"/>
      <w:spacing w:after="57"/>
    </w:pPr>
  </w:style>
  <w:style w:type="paragraph" w:styleId="842" w:customStyle="1">
    <w:name w:val="副标题1"/>
    <w:basedOn w:val="767"/>
    <w:next w:val="767"/>
    <w:link w:val="843"/>
    <w:uiPriority w:val="11"/>
    <w:qFormat/>
    <w:pPr>
      <w:spacing w:before="200" w:after="200"/>
    </w:pPr>
    <w:rPr>
      <w:sz w:val="24"/>
      <w:szCs w:val="24"/>
    </w:rPr>
  </w:style>
  <w:style w:type="character" w:styleId="843" w:customStyle="1">
    <w:name w:val="副标题 字符"/>
    <w:link w:val="842"/>
    <w:uiPriority w:val="11"/>
    <w:qFormat/>
    <w:rPr>
      <w:sz w:val="24"/>
      <w:szCs w:val="24"/>
    </w:rPr>
  </w:style>
  <w:style w:type="paragraph" w:styleId="844" w:customStyle="1">
    <w:name w:val="脚注文本1"/>
    <w:basedOn w:val="767"/>
    <w:link w:val="845"/>
    <w:uiPriority w:val="99"/>
    <w:unhideWhenUsed/>
    <w:qFormat/>
    <w:pPr>
      <w:spacing w:after="40"/>
    </w:pPr>
    <w:rPr>
      <w:sz w:val="18"/>
    </w:rPr>
  </w:style>
  <w:style w:type="character" w:styleId="845" w:customStyle="1">
    <w:name w:val="脚注文本 字符"/>
    <w:link w:val="844"/>
    <w:uiPriority w:val="99"/>
    <w:qFormat/>
    <w:rPr>
      <w:sz w:val="18"/>
    </w:rPr>
  </w:style>
  <w:style w:type="paragraph" w:styleId="846" w:customStyle="1">
    <w:name w:val="目录 61"/>
    <w:basedOn w:val="767"/>
    <w:next w:val="767"/>
    <w:uiPriority w:val="39"/>
    <w:unhideWhenUsed/>
    <w:qFormat/>
    <w:pPr>
      <w:ind w:left="1417"/>
      <w:spacing w:after="57"/>
    </w:pPr>
  </w:style>
  <w:style w:type="paragraph" w:styleId="847" w:customStyle="1">
    <w:name w:val="图表目录1"/>
    <w:basedOn w:val="767"/>
    <w:next w:val="767"/>
    <w:uiPriority w:val="99"/>
    <w:unhideWhenUsed/>
    <w:qFormat/>
  </w:style>
  <w:style w:type="paragraph" w:styleId="848" w:customStyle="1">
    <w:name w:val="目录 211"/>
    <w:basedOn w:val="767"/>
    <w:next w:val="767"/>
    <w:uiPriority w:val="39"/>
    <w:unhideWhenUsed/>
    <w:qFormat/>
    <w:pPr>
      <w:ind w:left="283"/>
      <w:spacing w:after="57"/>
    </w:pPr>
  </w:style>
  <w:style w:type="paragraph" w:styleId="849" w:customStyle="1">
    <w:name w:val="目录 91"/>
    <w:basedOn w:val="767"/>
    <w:next w:val="767"/>
    <w:uiPriority w:val="39"/>
    <w:unhideWhenUsed/>
    <w:qFormat/>
    <w:pPr>
      <w:ind w:left="2268"/>
      <w:spacing w:after="57"/>
    </w:pPr>
  </w:style>
  <w:style w:type="paragraph" w:styleId="850" w:customStyle="1">
    <w:name w:val="标题11"/>
    <w:basedOn w:val="767"/>
    <w:next w:val="767"/>
    <w:link w:val="851"/>
    <w:uiPriority w:val="10"/>
    <w:qFormat/>
    <w:pPr>
      <w:contextualSpacing/>
      <w:spacing w:before="300" w:after="200"/>
    </w:pPr>
    <w:rPr>
      <w:sz w:val="48"/>
      <w:szCs w:val="48"/>
    </w:rPr>
  </w:style>
  <w:style w:type="character" w:styleId="851" w:customStyle="1">
    <w:name w:val="标题 字符"/>
    <w:link w:val="850"/>
    <w:uiPriority w:val="10"/>
    <w:qFormat/>
    <w:rPr>
      <w:sz w:val="48"/>
      <w:szCs w:val="48"/>
    </w:rPr>
  </w:style>
  <w:style w:type="table" w:styleId="852" w:customStyle="1">
    <w:name w:val="网格型11"/>
    <w:uiPriority w:val="59"/>
    <w:qFormat/>
    <w:tblPr>
      <w:tblCellMar>
        <w:left w:w="0" w:type="dxa"/>
        <w:top w:w="0" w:type="dxa"/>
        <w:right w:w="0" w:type="dxa"/>
        <w:bottom w:w="0" w:type="dxa"/>
      </w:tblCellMar>
    </w:tblPr>
  </w:style>
  <w:style w:type="character" w:styleId="853" w:customStyle="1">
    <w:name w:val="尾注引用1"/>
    <w:uiPriority w:val="99"/>
    <w:unhideWhenUsed/>
    <w:qFormat/>
    <w:rPr>
      <w:vertAlign w:val="superscript"/>
    </w:rPr>
  </w:style>
  <w:style w:type="character" w:styleId="854" w:customStyle="1">
    <w:name w:val="超链接11"/>
    <w:uiPriority w:val="99"/>
    <w:unhideWhenUsed/>
    <w:qFormat/>
    <w:rPr>
      <w:color w:val="0000ff"/>
      <w:u w:val="single"/>
    </w:rPr>
  </w:style>
  <w:style w:type="character" w:styleId="855" w:customStyle="1">
    <w:name w:val="脚注引用1"/>
    <w:uiPriority w:val="99"/>
    <w:unhideWhenUsed/>
    <w:qFormat/>
    <w:rPr>
      <w:vertAlign w:val="superscript"/>
    </w:rPr>
  </w:style>
  <w:style w:type="paragraph" w:styleId="856" w:customStyle="1">
    <w:name w:val="正文1"/>
    <w:basedOn w:val="767"/>
    <w:next w:val="857"/>
    <w:uiPriority w:val="0"/>
    <w:qFormat/>
    <w:pPr>
      <w:jc w:val="left"/>
      <w:spacing w:line="360" w:lineRule="atLeast"/>
    </w:pPr>
    <w:rPr>
      <w:rFonts w:ascii="宋体" w:hAnsi="Calibri"/>
      <w:sz w:val="24"/>
      <w:szCs w:val="20"/>
    </w:rPr>
  </w:style>
  <w:style w:type="paragraph" w:styleId="857" w:customStyle="1">
    <w:name w:val="正文文本1"/>
    <w:basedOn w:val="856"/>
    <w:next w:val="858"/>
    <w:uiPriority w:val="0"/>
    <w:qFormat/>
    <w:pPr>
      <w:spacing w:after="120"/>
    </w:pPr>
    <w:rPr>
      <w:lang w:eastAsia="en-US"/>
    </w:rPr>
  </w:style>
  <w:style w:type="paragraph" w:styleId="858" w:customStyle="1">
    <w:name w:val="一级条标题"/>
    <w:basedOn w:val="859"/>
    <w:next w:val="86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9" w:customStyle="1">
    <w:name w:val="章标题"/>
    <w:next w:val="76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0" w:customStyle="1">
    <w:name w:val="段"/>
    <w:basedOn w:val="856"/>
    <w:next w:val="767"/>
    <w:uiPriority w:val="0"/>
    <w:qFormat/>
    <w:pPr>
      <w:ind w:firstLine="200"/>
      <w:widowControl/>
    </w:pPr>
    <w:rPr>
      <w:sz w:val="20"/>
    </w:rPr>
  </w:style>
  <w:style w:type="paragraph" w:styleId="861" w:customStyle="1">
    <w:name w:val="Normal_0"/>
    <w:next w:val="80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62" w:customStyle="1">
    <w:name w:val="Heading 1 Char"/>
    <w:basedOn w:val="814"/>
    <w:uiPriority w:val="9"/>
    <w:qFormat/>
    <w:rPr>
      <w:rFonts w:ascii="Arial" w:hAnsi="Arial" w:eastAsia="Arial" w:cs="Arial"/>
      <w:sz w:val="40"/>
      <w:szCs w:val="40"/>
    </w:rPr>
  </w:style>
  <w:style w:type="character" w:styleId="863" w:customStyle="1">
    <w:name w:val="Heading 2 Char"/>
    <w:basedOn w:val="814"/>
    <w:uiPriority w:val="9"/>
    <w:qFormat/>
    <w:rPr>
      <w:rFonts w:ascii="Arial" w:hAnsi="Arial" w:eastAsia="Arial" w:cs="Arial"/>
      <w:sz w:val="34"/>
    </w:rPr>
  </w:style>
  <w:style w:type="character" w:styleId="864" w:customStyle="1">
    <w:name w:val="Heading 3 Char"/>
    <w:basedOn w:val="814"/>
    <w:uiPriority w:val="9"/>
    <w:qFormat/>
    <w:rPr>
      <w:rFonts w:ascii="Arial" w:hAnsi="Arial" w:eastAsia="Arial" w:cs="Arial"/>
      <w:sz w:val="30"/>
      <w:szCs w:val="30"/>
    </w:rPr>
  </w:style>
  <w:style w:type="character" w:styleId="865" w:customStyle="1">
    <w:name w:val="Heading 4 Char"/>
    <w:basedOn w:val="814"/>
    <w:uiPriority w:val="9"/>
    <w:qFormat/>
    <w:rPr>
      <w:rFonts w:ascii="Arial" w:hAnsi="Arial" w:eastAsia="Arial" w:cs="Arial"/>
      <w:b/>
      <w:bCs/>
      <w:sz w:val="26"/>
      <w:szCs w:val="26"/>
    </w:rPr>
  </w:style>
  <w:style w:type="character" w:styleId="866" w:customStyle="1">
    <w:name w:val="Heading 5 Char"/>
    <w:basedOn w:val="814"/>
    <w:uiPriority w:val="9"/>
    <w:qFormat/>
    <w:rPr>
      <w:rFonts w:ascii="Arial" w:hAnsi="Arial" w:eastAsia="Arial" w:cs="Arial"/>
      <w:b/>
      <w:bCs/>
      <w:sz w:val="24"/>
      <w:szCs w:val="24"/>
    </w:rPr>
  </w:style>
  <w:style w:type="character" w:styleId="867" w:customStyle="1">
    <w:name w:val="Heading 6 Char"/>
    <w:basedOn w:val="814"/>
    <w:uiPriority w:val="9"/>
    <w:qFormat/>
    <w:rPr>
      <w:rFonts w:ascii="Arial" w:hAnsi="Arial" w:eastAsia="Arial" w:cs="Arial"/>
      <w:b/>
      <w:bCs/>
      <w:sz w:val="22"/>
      <w:szCs w:val="22"/>
    </w:rPr>
  </w:style>
  <w:style w:type="character" w:styleId="868" w:customStyle="1">
    <w:name w:val="Heading 7 Char"/>
    <w:basedOn w:val="814"/>
    <w:uiPriority w:val="9"/>
    <w:qFormat/>
    <w:rPr>
      <w:rFonts w:ascii="Arial" w:hAnsi="Arial" w:eastAsia="Arial" w:cs="Arial"/>
      <w:b/>
      <w:bCs/>
      <w:i/>
      <w:iCs/>
      <w:sz w:val="22"/>
      <w:szCs w:val="22"/>
    </w:rPr>
  </w:style>
  <w:style w:type="character" w:styleId="869" w:customStyle="1">
    <w:name w:val="Heading 8 Char"/>
    <w:basedOn w:val="814"/>
    <w:uiPriority w:val="9"/>
    <w:qFormat/>
    <w:rPr>
      <w:rFonts w:ascii="Arial" w:hAnsi="Arial" w:eastAsia="Arial" w:cs="Arial"/>
      <w:i/>
      <w:iCs/>
      <w:sz w:val="22"/>
      <w:szCs w:val="22"/>
    </w:rPr>
  </w:style>
  <w:style w:type="character" w:styleId="870" w:customStyle="1">
    <w:name w:val="Heading 9 Char"/>
    <w:basedOn w:val="814"/>
    <w:uiPriority w:val="9"/>
    <w:qFormat/>
    <w:rPr>
      <w:rFonts w:ascii="Arial" w:hAnsi="Arial" w:eastAsia="Arial" w:cs="Arial"/>
      <w:i/>
      <w:iCs/>
      <w:sz w:val="21"/>
      <w:szCs w:val="21"/>
    </w:rPr>
  </w:style>
  <w:style w:type="character" w:styleId="871" w:customStyle="1">
    <w:name w:val="Title Char"/>
    <w:basedOn w:val="814"/>
    <w:uiPriority w:val="10"/>
    <w:qFormat/>
    <w:rPr>
      <w:sz w:val="48"/>
      <w:szCs w:val="48"/>
    </w:rPr>
  </w:style>
  <w:style w:type="character" w:styleId="872" w:customStyle="1">
    <w:name w:val="Subtitle Char"/>
    <w:basedOn w:val="814"/>
    <w:uiPriority w:val="11"/>
    <w:qFormat/>
    <w:rPr>
      <w:sz w:val="24"/>
      <w:szCs w:val="24"/>
    </w:rPr>
  </w:style>
  <w:style w:type="character" w:styleId="873" w:customStyle="1">
    <w:name w:val="Quote Char"/>
    <w:uiPriority w:val="29"/>
    <w:qFormat/>
    <w:rPr>
      <w:i/>
    </w:rPr>
  </w:style>
  <w:style w:type="character" w:styleId="874" w:customStyle="1">
    <w:name w:val="Intense Quote Char"/>
    <w:uiPriority w:val="30"/>
    <w:qFormat/>
    <w:rPr>
      <w:i/>
    </w:rPr>
  </w:style>
  <w:style w:type="character" w:styleId="875" w:customStyle="1">
    <w:name w:val="Header Char"/>
    <w:basedOn w:val="814"/>
    <w:uiPriority w:val="99"/>
    <w:qFormat/>
  </w:style>
  <w:style w:type="character" w:styleId="876" w:customStyle="1">
    <w:name w:val="Caption Char"/>
    <w:uiPriority w:val="99"/>
    <w:qFormat/>
  </w:style>
  <w:style w:type="table" w:styleId="877" w:customStyle="1">
    <w:name w:val="Plain Table 1"/>
    <w:basedOn w:val="815"/>
    <w:uiPriority w:val="59"/>
    <w:qFormat/>
    <w:tblPr>
      <w:tblCellMar>
        <w:left w:w="0" w:type="dxa"/>
        <w:top w:w="0" w:type="dxa"/>
        <w:right w:w="0" w:type="dxa"/>
        <w:bottom w:w="0" w:type="dxa"/>
      </w:tblCellMar>
    </w:tblPr>
  </w:style>
  <w:style w:type="table" w:styleId="878" w:customStyle="1">
    <w:name w:val="Plain Table 2"/>
    <w:basedOn w:val="815"/>
    <w:uiPriority w:val="59"/>
    <w:qFormat/>
    <w:tblPr>
      <w:tblCellMar>
        <w:left w:w="0" w:type="dxa"/>
        <w:top w:w="0" w:type="dxa"/>
        <w:right w:w="0" w:type="dxa"/>
        <w:bottom w:w="0" w:type="dxa"/>
      </w:tblCellMar>
    </w:tblPr>
  </w:style>
  <w:style w:type="table" w:styleId="879" w:customStyle="1">
    <w:name w:val="Plain Table 3"/>
    <w:basedOn w:val="815"/>
    <w:uiPriority w:val="99"/>
    <w:qFormat/>
    <w:tblPr>
      <w:tblCellMar>
        <w:left w:w="0" w:type="dxa"/>
        <w:top w:w="0" w:type="dxa"/>
        <w:right w:w="0" w:type="dxa"/>
        <w:bottom w:w="0" w:type="dxa"/>
      </w:tblCellMar>
    </w:tblPr>
  </w:style>
  <w:style w:type="table" w:styleId="880" w:customStyle="1">
    <w:name w:val="Plain Table 4"/>
    <w:basedOn w:val="815"/>
    <w:uiPriority w:val="99"/>
    <w:qFormat/>
    <w:tblPr>
      <w:tblCellMar>
        <w:left w:w="0" w:type="dxa"/>
        <w:top w:w="0" w:type="dxa"/>
        <w:right w:w="0" w:type="dxa"/>
        <w:bottom w:w="0" w:type="dxa"/>
      </w:tblCellMar>
    </w:tblPr>
  </w:style>
  <w:style w:type="table" w:styleId="881" w:customStyle="1">
    <w:name w:val="Plain Table 5"/>
    <w:basedOn w:val="815"/>
    <w:uiPriority w:val="99"/>
    <w:qFormat/>
    <w:tblPr>
      <w:tblCellMar>
        <w:left w:w="0" w:type="dxa"/>
        <w:top w:w="0" w:type="dxa"/>
        <w:right w:w="0" w:type="dxa"/>
        <w:bottom w:w="0" w:type="dxa"/>
      </w:tblCellMar>
    </w:tblPr>
  </w:style>
  <w:style w:type="table" w:styleId="882" w:customStyle="1">
    <w:name w:val="Grid Table 1 Light"/>
    <w:basedOn w:val="815"/>
    <w:uiPriority w:val="99"/>
    <w:qFormat/>
    <w:tblPr>
      <w:tblCellMar>
        <w:left w:w="0" w:type="dxa"/>
        <w:top w:w="0" w:type="dxa"/>
        <w:right w:w="0" w:type="dxa"/>
        <w:bottom w:w="0" w:type="dxa"/>
      </w:tblCellMar>
    </w:tblPr>
  </w:style>
  <w:style w:type="table" w:styleId="883" w:customStyle="1">
    <w:name w:val="Grid Table 2"/>
    <w:basedOn w:val="815"/>
    <w:uiPriority w:val="99"/>
    <w:qFormat/>
    <w:tblPr>
      <w:tblCellMar>
        <w:left w:w="0" w:type="dxa"/>
        <w:top w:w="0" w:type="dxa"/>
        <w:right w:w="0" w:type="dxa"/>
        <w:bottom w:w="0" w:type="dxa"/>
      </w:tblCellMar>
    </w:tblPr>
  </w:style>
  <w:style w:type="table" w:styleId="884" w:customStyle="1">
    <w:name w:val="Grid Table 3"/>
    <w:basedOn w:val="815"/>
    <w:uiPriority w:val="99"/>
    <w:qFormat/>
    <w:tblPr>
      <w:tblCellMar>
        <w:left w:w="0" w:type="dxa"/>
        <w:top w:w="0" w:type="dxa"/>
        <w:right w:w="0" w:type="dxa"/>
        <w:bottom w:w="0" w:type="dxa"/>
      </w:tblCellMar>
    </w:tblPr>
  </w:style>
  <w:style w:type="table" w:styleId="885" w:customStyle="1">
    <w:name w:val="Grid Table 4"/>
    <w:basedOn w:val="815"/>
    <w:uiPriority w:val="59"/>
    <w:qFormat/>
    <w:tblPr>
      <w:tblCellMar>
        <w:left w:w="0" w:type="dxa"/>
        <w:top w:w="0" w:type="dxa"/>
        <w:right w:w="0" w:type="dxa"/>
        <w:bottom w:w="0" w:type="dxa"/>
      </w:tblCellMar>
    </w:tblPr>
  </w:style>
  <w:style w:type="table" w:styleId="886" w:customStyle="1">
    <w:name w:val="Grid Table 5 Dark"/>
    <w:basedOn w:val="815"/>
    <w:uiPriority w:val="99"/>
    <w:qFormat/>
    <w:tblPr>
      <w:tblCellMar>
        <w:left w:w="0" w:type="dxa"/>
        <w:top w:w="0" w:type="dxa"/>
        <w:right w:w="0" w:type="dxa"/>
        <w:bottom w:w="0" w:type="dxa"/>
      </w:tblCellMar>
    </w:tblPr>
  </w:style>
  <w:style w:type="table" w:styleId="887" w:customStyle="1">
    <w:name w:val="Grid Table 6 Colorful"/>
    <w:basedOn w:val="815"/>
    <w:uiPriority w:val="99"/>
    <w:qFormat/>
    <w:tblPr>
      <w:tblCellMar>
        <w:left w:w="0" w:type="dxa"/>
        <w:top w:w="0" w:type="dxa"/>
        <w:right w:w="0" w:type="dxa"/>
        <w:bottom w:w="0" w:type="dxa"/>
      </w:tblCellMar>
    </w:tblPr>
  </w:style>
  <w:style w:type="table" w:styleId="888" w:customStyle="1">
    <w:name w:val="Grid Table 7 Colorful"/>
    <w:basedOn w:val="815"/>
    <w:uiPriority w:val="99"/>
    <w:qFormat/>
    <w:tblPr>
      <w:tblCellMar>
        <w:left w:w="0" w:type="dxa"/>
        <w:top w:w="0" w:type="dxa"/>
        <w:right w:w="0" w:type="dxa"/>
        <w:bottom w:w="0" w:type="dxa"/>
      </w:tblCellMar>
    </w:tblPr>
  </w:style>
  <w:style w:type="table" w:styleId="889" w:customStyle="1">
    <w:name w:val="List Table 1 Light"/>
    <w:basedOn w:val="815"/>
    <w:uiPriority w:val="99"/>
    <w:qFormat/>
    <w:tblPr>
      <w:tblCellMar>
        <w:left w:w="0" w:type="dxa"/>
        <w:top w:w="0" w:type="dxa"/>
        <w:right w:w="0" w:type="dxa"/>
        <w:bottom w:w="0" w:type="dxa"/>
      </w:tblCellMar>
    </w:tblPr>
  </w:style>
  <w:style w:type="table" w:styleId="890" w:customStyle="1">
    <w:name w:val="List Table 2"/>
    <w:basedOn w:val="815"/>
    <w:uiPriority w:val="99"/>
    <w:qFormat/>
    <w:tblPr>
      <w:tblCellMar>
        <w:left w:w="0" w:type="dxa"/>
        <w:top w:w="0" w:type="dxa"/>
        <w:right w:w="0" w:type="dxa"/>
        <w:bottom w:w="0" w:type="dxa"/>
      </w:tblCellMar>
    </w:tblPr>
  </w:style>
  <w:style w:type="table" w:styleId="891" w:customStyle="1">
    <w:name w:val="List Table 3"/>
    <w:basedOn w:val="815"/>
    <w:uiPriority w:val="99"/>
    <w:qFormat/>
    <w:tblPr>
      <w:tblCellMar>
        <w:left w:w="0" w:type="dxa"/>
        <w:top w:w="0" w:type="dxa"/>
        <w:right w:w="0" w:type="dxa"/>
        <w:bottom w:w="0" w:type="dxa"/>
      </w:tblCellMar>
    </w:tblPr>
  </w:style>
  <w:style w:type="table" w:styleId="892" w:customStyle="1">
    <w:name w:val="List Table 4"/>
    <w:basedOn w:val="815"/>
    <w:uiPriority w:val="99"/>
    <w:qFormat/>
    <w:tblPr>
      <w:tblCellMar>
        <w:left w:w="0" w:type="dxa"/>
        <w:top w:w="0" w:type="dxa"/>
        <w:right w:w="0" w:type="dxa"/>
        <w:bottom w:w="0" w:type="dxa"/>
      </w:tblCellMar>
    </w:tblPr>
  </w:style>
  <w:style w:type="table" w:styleId="893" w:customStyle="1">
    <w:name w:val="List Table 5 Dark"/>
    <w:basedOn w:val="815"/>
    <w:uiPriority w:val="99"/>
    <w:qFormat/>
    <w:tblPr>
      <w:tblCellMar>
        <w:left w:w="0" w:type="dxa"/>
        <w:top w:w="0" w:type="dxa"/>
        <w:right w:w="0" w:type="dxa"/>
        <w:bottom w:w="0" w:type="dxa"/>
      </w:tblCellMar>
    </w:tblPr>
  </w:style>
  <w:style w:type="table" w:styleId="894" w:customStyle="1">
    <w:name w:val="List Table 6 Colorful"/>
    <w:basedOn w:val="815"/>
    <w:uiPriority w:val="99"/>
    <w:qFormat/>
    <w:tblPr>
      <w:tblCellMar>
        <w:left w:w="0" w:type="dxa"/>
        <w:top w:w="0" w:type="dxa"/>
        <w:right w:w="0" w:type="dxa"/>
        <w:bottom w:w="0" w:type="dxa"/>
      </w:tblCellMar>
    </w:tblPr>
  </w:style>
  <w:style w:type="table" w:styleId="895" w:customStyle="1">
    <w:name w:val="List Table 7 Colorful"/>
    <w:basedOn w:val="815"/>
    <w:uiPriority w:val="99"/>
    <w:qFormat/>
    <w:tblPr>
      <w:tblCellMar>
        <w:left w:w="0" w:type="dxa"/>
        <w:top w:w="0" w:type="dxa"/>
        <w:right w:w="0" w:type="dxa"/>
        <w:bottom w:w="0" w:type="dxa"/>
      </w:tblCellMar>
    </w:tblPr>
  </w:style>
  <w:style w:type="character" w:styleId="896" w:customStyle="1">
    <w:name w:val="Footnote Text Char"/>
    <w:uiPriority w:val="99"/>
    <w:qFormat/>
    <w:rPr>
      <w:sz w:val="18"/>
    </w:rPr>
  </w:style>
  <w:style w:type="character" w:styleId="897" w:customStyle="1">
    <w:name w:val="Endnote Text Char"/>
    <w:uiPriority w:val="99"/>
    <w:qFormat/>
    <w:rPr>
      <w:sz w:val="20"/>
    </w:rPr>
  </w:style>
  <w:style w:type="paragraph" w:styleId="898" w:customStyle="1">
    <w:name w:val="TOC 标题1"/>
    <w:uiPriority w:val="39"/>
    <w:unhideWhenUsed/>
    <w:qFormat/>
    <w:rPr>
      <w:rFonts w:hint="default" w:ascii="Times New Roman" w:hAnsi="Times New Roman" w:eastAsia="宋体" w:cs="Times New Roman"/>
      <w:lang w:val="en-US" w:eastAsia="zh-CN" w:bidi="ar-SA"/>
    </w:rPr>
  </w:style>
  <w:style w:type="paragraph" w:styleId="899">
    <w:name w:val="List Paragraph"/>
    <w:basedOn w:val="767"/>
    <w:uiPriority w:val="34"/>
    <w:qFormat/>
    <w:pPr>
      <w:contextualSpacing/>
      <w:ind w:left="720"/>
    </w:pPr>
  </w:style>
  <w:style w:type="paragraph" w:styleId="900">
    <w:name w:val="No Spacing"/>
    <w:uiPriority w:val="1"/>
    <w:qFormat/>
    <w:rPr>
      <w:rFonts w:hint="default" w:ascii="Times New Roman" w:hAnsi="Times New Roman" w:eastAsia="宋体" w:cs="Times New Roman"/>
      <w:lang w:val="en-US" w:eastAsia="zh-CN" w:bidi="ar-SA"/>
    </w:rPr>
  </w:style>
  <w:style w:type="paragraph" w:styleId="901">
    <w:name w:val="Quote"/>
    <w:basedOn w:val="767"/>
    <w:next w:val="767"/>
    <w:link w:val="902"/>
    <w:uiPriority w:val="29"/>
    <w:qFormat/>
    <w:pPr>
      <w:ind w:left="720" w:right="720"/>
    </w:pPr>
    <w:rPr>
      <w:i/>
    </w:rPr>
  </w:style>
  <w:style w:type="character" w:styleId="902" w:customStyle="1">
    <w:name w:val="引用 Char"/>
    <w:link w:val="901"/>
    <w:uiPriority w:val="29"/>
    <w:qFormat/>
    <w:rPr>
      <w:i/>
    </w:rPr>
  </w:style>
  <w:style w:type="paragraph" w:styleId="903">
    <w:name w:val="Intense Quote"/>
    <w:basedOn w:val="767"/>
    <w:next w:val="767"/>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明显引用 Char"/>
    <w:link w:val="903"/>
    <w:uiPriority w:val="30"/>
    <w:qFormat/>
    <w:rPr>
      <w:i/>
    </w:rPr>
  </w:style>
  <w:style w:type="character" w:styleId="905" w:customStyle="1">
    <w:name w:val="Footer Char"/>
    <w:uiPriority w:val="99"/>
    <w:qFormat/>
  </w:style>
  <w:style w:type="table" w:styleId="906" w:customStyle="1">
    <w:name w:val="Table Grid Light"/>
    <w:uiPriority w:val="59"/>
    <w:qFormat/>
    <w:tblPr>
      <w:tblCellMar>
        <w:left w:w="0" w:type="dxa"/>
        <w:top w:w="0" w:type="dxa"/>
        <w:right w:w="0" w:type="dxa"/>
        <w:bottom w:w="0" w:type="dxa"/>
      </w:tblCellMar>
    </w:tblPr>
  </w:style>
  <w:style w:type="table" w:styleId="907" w:customStyle="1">
    <w:name w:val="无格式表格 11"/>
    <w:uiPriority w:val="59"/>
    <w:qFormat/>
    <w:tblPr>
      <w:tblCellMar>
        <w:left w:w="0" w:type="dxa"/>
        <w:top w:w="0" w:type="dxa"/>
        <w:right w:w="0" w:type="dxa"/>
        <w:bottom w:w="0" w:type="dxa"/>
      </w:tblCellMar>
    </w:tblPr>
  </w:style>
  <w:style w:type="table" w:styleId="908" w:customStyle="1">
    <w:name w:val="无格式表格 21"/>
    <w:uiPriority w:val="59"/>
    <w:qFormat/>
    <w:tblPr>
      <w:tblCellMar>
        <w:left w:w="0" w:type="dxa"/>
        <w:top w:w="0" w:type="dxa"/>
        <w:right w:w="0" w:type="dxa"/>
        <w:bottom w:w="0" w:type="dxa"/>
      </w:tblCellMar>
    </w:tblPr>
  </w:style>
  <w:style w:type="table" w:styleId="909" w:customStyle="1">
    <w:name w:val="无格式表格 31"/>
    <w:uiPriority w:val="99"/>
    <w:qFormat/>
    <w:tblPr>
      <w:tblCellMar>
        <w:left w:w="0" w:type="dxa"/>
        <w:top w:w="0" w:type="dxa"/>
        <w:right w:w="0" w:type="dxa"/>
        <w:bottom w:w="0" w:type="dxa"/>
      </w:tblCellMar>
    </w:tblPr>
  </w:style>
  <w:style w:type="table" w:styleId="910" w:customStyle="1">
    <w:name w:val="无格式表格 41"/>
    <w:uiPriority w:val="99"/>
    <w:qFormat/>
    <w:tblPr>
      <w:tblCellMar>
        <w:left w:w="0" w:type="dxa"/>
        <w:top w:w="0" w:type="dxa"/>
        <w:right w:w="0" w:type="dxa"/>
        <w:bottom w:w="0" w:type="dxa"/>
      </w:tblCellMar>
    </w:tblPr>
  </w:style>
  <w:style w:type="table" w:styleId="911" w:customStyle="1">
    <w:name w:val="无格式表格 51"/>
    <w:uiPriority w:val="99"/>
    <w:qFormat/>
    <w:tblPr>
      <w:tblCellMar>
        <w:left w:w="0" w:type="dxa"/>
        <w:top w:w="0" w:type="dxa"/>
        <w:right w:w="0" w:type="dxa"/>
        <w:bottom w:w="0" w:type="dxa"/>
      </w:tblCellMar>
    </w:tblPr>
  </w:style>
  <w:style w:type="table" w:styleId="912" w:customStyle="1">
    <w:name w:val="网格表 1 浅色1"/>
    <w:uiPriority w:val="99"/>
    <w:qFormat/>
    <w:tblPr>
      <w:tblCellMar>
        <w:left w:w="0" w:type="dxa"/>
        <w:top w:w="0" w:type="dxa"/>
        <w:right w:w="0" w:type="dxa"/>
        <w:bottom w:w="0" w:type="dxa"/>
      </w:tblCellMar>
    </w:tblPr>
  </w:style>
  <w:style w:type="table" w:styleId="913" w:customStyle="1">
    <w:name w:val="Grid Table 1 Light - Accent 1"/>
    <w:uiPriority w:val="99"/>
    <w:qFormat/>
    <w:tblPr>
      <w:tblCellMar>
        <w:left w:w="0" w:type="dxa"/>
        <w:top w:w="0" w:type="dxa"/>
        <w:right w:w="0" w:type="dxa"/>
        <w:bottom w:w="0" w:type="dxa"/>
      </w:tblCellMar>
    </w:tblPr>
  </w:style>
  <w:style w:type="table" w:styleId="914" w:customStyle="1">
    <w:name w:val="Grid Table 1 Light - Accent 2"/>
    <w:uiPriority w:val="99"/>
    <w:qFormat/>
    <w:tblPr>
      <w:tblCellMar>
        <w:left w:w="0" w:type="dxa"/>
        <w:top w:w="0" w:type="dxa"/>
        <w:right w:w="0" w:type="dxa"/>
        <w:bottom w:w="0" w:type="dxa"/>
      </w:tblCellMar>
    </w:tblPr>
  </w:style>
  <w:style w:type="table" w:styleId="915" w:customStyle="1">
    <w:name w:val="Grid Table 1 Light - Accent 3"/>
    <w:uiPriority w:val="99"/>
    <w:qFormat/>
    <w:tblPr>
      <w:tblCellMar>
        <w:left w:w="0" w:type="dxa"/>
        <w:top w:w="0" w:type="dxa"/>
        <w:right w:w="0" w:type="dxa"/>
        <w:bottom w:w="0" w:type="dxa"/>
      </w:tblCellMar>
    </w:tblPr>
  </w:style>
  <w:style w:type="table" w:styleId="916" w:customStyle="1">
    <w:name w:val="Grid Table 1 Light - Accent 4"/>
    <w:uiPriority w:val="99"/>
    <w:qFormat/>
    <w:tblPr>
      <w:tblCellMar>
        <w:left w:w="0" w:type="dxa"/>
        <w:top w:w="0" w:type="dxa"/>
        <w:right w:w="0" w:type="dxa"/>
        <w:bottom w:w="0" w:type="dxa"/>
      </w:tblCellMar>
    </w:tblPr>
  </w:style>
  <w:style w:type="table" w:styleId="917" w:customStyle="1">
    <w:name w:val="Grid Table 1 Light - Accent 5"/>
    <w:uiPriority w:val="99"/>
    <w:qFormat/>
    <w:tblPr>
      <w:tblCellMar>
        <w:left w:w="0" w:type="dxa"/>
        <w:top w:w="0" w:type="dxa"/>
        <w:right w:w="0" w:type="dxa"/>
        <w:bottom w:w="0" w:type="dxa"/>
      </w:tblCellMar>
    </w:tblPr>
  </w:style>
  <w:style w:type="table" w:styleId="918" w:customStyle="1">
    <w:name w:val="Grid Table 1 Light - Accent 6"/>
    <w:uiPriority w:val="99"/>
    <w:qFormat/>
    <w:tblPr>
      <w:tblCellMar>
        <w:left w:w="0" w:type="dxa"/>
        <w:top w:w="0" w:type="dxa"/>
        <w:right w:w="0" w:type="dxa"/>
        <w:bottom w:w="0" w:type="dxa"/>
      </w:tblCellMar>
    </w:tblPr>
  </w:style>
  <w:style w:type="table" w:styleId="919" w:customStyle="1">
    <w:name w:val="网格表 21"/>
    <w:uiPriority w:val="99"/>
    <w:qFormat/>
    <w:tblPr>
      <w:tblCellMar>
        <w:left w:w="0" w:type="dxa"/>
        <w:top w:w="0" w:type="dxa"/>
        <w:right w:w="0" w:type="dxa"/>
        <w:bottom w:w="0" w:type="dxa"/>
      </w:tblCellMar>
    </w:tblPr>
  </w:style>
  <w:style w:type="table" w:styleId="920" w:customStyle="1">
    <w:name w:val="Grid Table 2 - Accent 1"/>
    <w:uiPriority w:val="99"/>
    <w:qFormat/>
    <w:tblPr>
      <w:tblCellMar>
        <w:left w:w="0" w:type="dxa"/>
        <w:top w:w="0" w:type="dxa"/>
        <w:right w:w="0" w:type="dxa"/>
        <w:bottom w:w="0" w:type="dxa"/>
      </w:tblCellMar>
    </w:tblPr>
  </w:style>
  <w:style w:type="table" w:styleId="921" w:customStyle="1">
    <w:name w:val="Grid Table 2 - Accent 2"/>
    <w:uiPriority w:val="99"/>
    <w:qFormat/>
    <w:tblPr>
      <w:tblCellMar>
        <w:left w:w="0" w:type="dxa"/>
        <w:top w:w="0" w:type="dxa"/>
        <w:right w:w="0" w:type="dxa"/>
        <w:bottom w:w="0" w:type="dxa"/>
      </w:tblCellMar>
    </w:tblPr>
  </w:style>
  <w:style w:type="table" w:styleId="922" w:customStyle="1">
    <w:name w:val="Grid Table 2 - Accent 3"/>
    <w:uiPriority w:val="99"/>
    <w:qFormat/>
    <w:tblPr>
      <w:tblCellMar>
        <w:left w:w="0" w:type="dxa"/>
        <w:top w:w="0" w:type="dxa"/>
        <w:right w:w="0" w:type="dxa"/>
        <w:bottom w:w="0" w:type="dxa"/>
      </w:tblCellMar>
    </w:tblPr>
  </w:style>
  <w:style w:type="table" w:styleId="923" w:customStyle="1">
    <w:name w:val="Grid Table 2 - Accent 4"/>
    <w:uiPriority w:val="99"/>
    <w:qFormat/>
    <w:tblPr>
      <w:tblCellMar>
        <w:left w:w="0" w:type="dxa"/>
        <w:top w:w="0" w:type="dxa"/>
        <w:right w:w="0" w:type="dxa"/>
        <w:bottom w:w="0" w:type="dxa"/>
      </w:tblCellMar>
    </w:tblPr>
  </w:style>
  <w:style w:type="table" w:styleId="924" w:customStyle="1">
    <w:name w:val="Grid Table 2 - Accent 5"/>
    <w:uiPriority w:val="99"/>
    <w:qFormat/>
    <w:tblPr>
      <w:tblCellMar>
        <w:left w:w="0" w:type="dxa"/>
        <w:top w:w="0" w:type="dxa"/>
        <w:right w:w="0" w:type="dxa"/>
        <w:bottom w:w="0" w:type="dxa"/>
      </w:tblCellMar>
    </w:tblPr>
  </w:style>
  <w:style w:type="table" w:styleId="925" w:customStyle="1">
    <w:name w:val="Grid Table 2 - Accent 6"/>
    <w:uiPriority w:val="99"/>
    <w:qFormat/>
    <w:tblPr>
      <w:tblCellMar>
        <w:left w:w="0" w:type="dxa"/>
        <w:top w:w="0" w:type="dxa"/>
        <w:right w:w="0" w:type="dxa"/>
        <w:bottom w:w="0" w:type="dxa"/>
      </w:tblCellMar>
    </w:tblPr>
  </w:style>
  <w:style w:type="table" w:styleId="926" w:customStyle="1">
    <w:name w:val="网格表 31"/>
    <w:uiPriority w:val="99"/>
    <w:qFormat/>
    <w:tblPr>
      <w:tblCellMar>
        <w:left w:w="0" w:type="dxa"/>
        <w:top w:w="0" w:type="dxa"/>
        <w:right w:w="0" w:type="dxa"/>
        <w:bottom w:w="0" w:type="dxa"/>
      </w:tblCellMar>
    </w:tblPr>
  </w:style>
  <w:style w:type="table" w:styleId="927" w:customStyle="1">
    <w:name w:val="Grid Table 3 - Accent 1"/>
    <w:uiPriority w:val="99"/>
    <w:qFormat/>
    <w:tblPr>
      <w:tblCellMar>
        <w:left w:w="0" w:type="dxa"/>
        <w:top w:w="0" w:type="dxa"/>
        <w:right w:w="0" w:type="dxa"/>
        <w:bottom w:w="0" w:type="dxa"/>
      </w:tblCellMar>
    </w:tblPr>
  </w:style>
  <w:style w:type="table" w:styleId="928" w:customStyle="1">
    <w:name w:val="Grid Table 3 - Accent 2"/>
    <w:uiPriority w:val="99"/>
    <w:qFormat/>
    <w:tblPr>
      <w:tblCellMar>
        <w:left w:w="0" w:type="dxa"/>
        <w:top w:w="0" w:type="dxa"/>
        <w:right w:w="0" w:type="dxa"/>
        <w:bottom w:w="0" w:type="dxa"/>
      </w:tblCellMar>
    </w:tblPr>
  </w:style>
  <w:style w:type="table" w:styleId="929" w:customStyle="1">
    <w:name w:val="Grid Table 3 - Accent 3"/>
    <w:uiPriority w:val="99"/>
    <w:qFormat/>
    <w:tblPr>
      <w:tblCellMar>
        <w:left w:w="0" w:type="dxa"/>
        <w:top w:w="0" w:type="dxa"/>
        <w:right w:w="0" w:type="dxa"/>
        <w:bottom w:w="0" w:type="dxa"/>
      </w:tblCellMar>
    </w:tblPr>
  </w:style>
  <w:style w:type="table" w:styleId="930" w:customStyle="1">
    <w:name w:val="Grid Table 3 - Accent 4"/>
    <w:uiPriority w:val="99"/>
    <w:qFormat/>
    <w:tblPr>
      <w:tblCellMar>
        <w:left w:w="0" w:type="dxa"/>
        <w:top w:w="0" w:type="dxa"/>
        <w:right w:w="0" w:type="dxa"/>
        <w:bottom w:w="0" w:type="dxa"/>
      </w:tblCellMar>
    </w:tblPr>
  </w:style>
  <w:style w:type="table" w:styleId="931" w:customStyle="1">
    <w:name w:val="Grid Table 3 - Accent 5"/>
    <w:uiPriority w:val="99"/>
    <w:qFormat/>
    <w:tblPr>
      <w:tblCellMar>
        <w:left w:w="0" w:type="dxa"/>
        <w:top w:w="0" w:type="dxa"/>
        <w:right w:w="0" w:type="dxa"/>
        <w:bottom w:w="0" w:type="dxa"/>
      </w:tblCellMar>
    </w:tblPr>
  </w:style>
  <w:style w:type="table" w:styleId="932" w:customStyle="1">
    <w:name w:val="Grid Table 3 - Accent 6"/>
    <w:uiPriority w:val="99"/>
    <w:qFormat/>
    <w:tblPr>
      <w:tblCellMar>
        <w:left w:w="0" w:type="dxa"/>
        <w:top w:w="0" w:type="dxa"/>
        <w:right w:w="0" w:type="dxa"/>
        <w:bottom w:w="0" w:type="dxa"/>
      </w:tblCellMar>
    </w:tblPr>
  </w:style>
  <w:style w:type="table" w:styleId="933" w:customStyle="1">
    <w:name w:val="网格表 41"/>
    <w:uiPriority w:val="59"/>
    <w:qFormat/>
    <w:tblPr>
      <w:tblCellMar>
        <w:left w:w="0" w:type="dxa"/>
        <w:top w:w="0" w:type="dxa"/>
        <w:right w:w="0" w:type="dxa"/>
        <w:bottom w:w="0" w:type="dxa"/>
      </w:tblCellMar>
    </w:tblPr>
  </w:style>
  <w:style w:type="table" w:styleId="934" w:customStyle="1">
    <w:name w:val="Grid Table 4 - Accent 1"/>
    <w:uiPriority w:val="59"/>
    <w:qFormat/>
    <w:tblPr>
      <w:tblCellMar>
        <w:left w:w="0" w:type="dxa"/>
        <w:top w:w="0" w:type="dxa"/>
        <w:right w:w="0" w:type="dxa"/>
        <w:bottom w:w="0" w:type="dxa"/>
      </w:tblCellMar>
    </w:tblPr>
  </w:style>
  <w:style w:type="table" w:styleId="935" w:customStyle="1">
    <w:name w:val="Grid Table 4 - Accent 2"/>
    <w:uiPriority w:val="59"/>
    <w:qFormat/>
    <w:tblPr>
      <w:tblCellMar>
        <w:left w:w="0" w:type="dxa"/>
        <w:top w:w="0" w:type="dxa"/>
        <w:right w:w="0" w:type="dxa"/>
        <w:bottom w:w="0" w:type="dxa"/>
      </w:tblCellMar>
    </w:tblPr>
  </w:style>
  <w:style w:type="table" w:styleId="936" w:customStyle="1">
    <w:name w:val="Grid Table 4 - Accent 3"/>
    <w:uiPriority w:val="59"/>
    <w:qFormat/>
    <w:tblPr>
      <w:tblCellMar>
        <w:left w:w="0" w:type="dxa"/>
        <w:top w:w="0" w:type="dxa"/>
        <w:right w:w="0" w:type="dxa"/>
        <w:bottom w:w="0" w:type="dxa"/>
      </w:tblCellMar>
    </w:tblPr>
  </w:style>
  <w:style w:type="table" w:styleId="937" w:customStyle="1">
    <w:name w:val="Grid Table 4 - Accent 4"/>
    <w:uiPriority w:val="59"/>
    <w:qFormat/>
    <w:tblPr>
      <w:tblCellMar>
        <w:left w:w="0" w:type="dxa"/>
        <w:top w:w="0" w:type="dxa"/>
        <w:right w:w="0" w:type="dxa"/>
        <w:bottom w:w="0" w:type="dxa"/>
      </w:tblCellMar>
    </w:tblPr>
  </w:style>
  <w:style w:type="table" w:styleId="938" w:customStyle="1">
    <w:name w:val="Grid Table 4 - Accent 5"/>
    <w:uiPriority w:val="59"/>
    <w:qFormat/>
    <w:tblPr>
      <w:tblCellMar>
        <w:left w:w="0" w:type="dxa"/>
        <w:top w:w="0" w:type="dxa"/>
        <w:right w:w="0" w:type="dxa"/>
        <w:bottom w:w="0" w:type="dxa"/>
      </w:tblCellMar>
    </w:tblPr>
  </w:style>
  <w:style w:type="table" w:styleId="939" w:customStyle="1">
    <w:name w:val="Grid Table 4 - Accent 6"/>
    <w:uiPriority w:val="59"/>
    <w:qFormat/>
    <w:tblPr>
      <w:tblCellMar>
        <w:left w:w="0" w:type="dxa"/>
        <w:top w:w="0" w:type="dxa"/>
        <w:right w:w="0" w:type="dxa"/>
        <w:bottom w:w="0" w:type="dxa"/>
      </w:tblCellMar>
    </w:tblPr>
  </w:style>
  <w:style w:type="table" w:styleId="940" w:customStyle="1">
    <w:name w:val="网格表 5 深色1"/>
    <w:uiPriority w:val="99"/>
    <w:qFormat/>
    <w:tblPr>
      <w:tblCellMar>
        <w:left w:w="0" w:type="dxa"/>
        <w:top w:w="0" w:type="dxa"/>
        <w:right w:w="0" w:type="dxa"/>
        <w:bottom w:w="0" w:type="dxa"/>
      </w:tblCellMar>
    </w:tblPr>
  </w:style>
  <w:style w:type="table" w:styleId="941" w:customStyle="1">
    <w:name w:val="Grid Table 5 Dark- Accent 1"/>
    <w:uiPriority w:val="99"/>
    <w:qFormat/>
    <w:tblPr>
      <w:tblCellMar>
        <w:left w:w="0" w:type="dxa"/>
        <w:top w:w="0" w:type="dxa"/>
        <w:right w:w="0" w:type="dxa"/>
        <w:bottom w:w="0" w:type="dxa"/>
      </w:tblCellMar>
    </w:tblPr>
  </w:style>
  <w:style w:type="table" w:styleId="942" w:customStyle="1">
    <w:name w:val="Grid Table 5 Dark - Accent 2"/>
    <w:uiPriority w:val="99"/>
    <w:qFormat/>
    <w:tblPr>
      <w:tblCellMar>
        <w:left w:w="0" w:type="dxa"/>
        <w:top w:w="0" w:type="dxa"/>
        <w:right w:w="0" w:type="dxa"/>
        <w:bottom w:w="0" w:type="dxa"/>
      </w:tblCellMar>
    </w:tblPr>
  </w:style>
  <w:style w:type="table" w:styleId="943" w:customStyle="1">
    <w:name w:val="Grid Table 5 Dark - Accent 3"/>
    <w:uiPriority w:val="99"/>
    <w:qFormat/>
    <w:tblPr>
      <w:tblCellMar>
        <w:left w:w="0" w:type="dxa"/>
        <w:top w:w="0" w:type="dxa"/>
        <w:right w:w="0" w:type="dxa"/>
        <w:bottom w:w="0" w:type="dxa"/>
      </w:tblCellMar>
    </w:tblPr>
  </w:style>
  <w:style w:type="table" w:styleId="944" w:customStyle="1">
    <w:name w:val="Grid Table 5 Dark- Accent 4"/>
    <w:uiPriority w:val="99"/>
    <w:qFormat/>
    <w:tblPr>
      <w:tblCellMar>
        <w:left w:w="0" w:type="dxa"/>
        <w:top w:w="0" w:type="dxa"/>
        <w:right w:w="0" w:type="dxa"/>
        <w:bottom w:w="0" w:type="dxa"/>
      </w:tblCellMar>
    </w:tblPr>
  </w:style>
  <w:style w:type="table" w:styleId="945" w:customStyle="1">
    <w:name w:val="Grid Table 5 Dark - Accent 5"/>
    <w:uiPriority w:val="99"/>
    <w:qFormat/>
    <w:tblPr>
      <w:tblCellMar>
        <w:left w:w="0" w:type="dxa"/>
        <w:top w:w="0" w:type="dxa"/>
        <w:right w:w="0" w:type="dxa"/>
        <w:bottom w:w="0" w:type="dxa"/>
      </w:tblCellMar>
    </w:tblPr>
  </w:style>
  <w:style w:type="table" w:styleId="946" w:customStyle="1">
    <w:name w:val="Grid Table 5 Dark - Accent 6"/>
    <w:uiPriority w:val="99"/>
    <w:qFormat/>
    <w:tblPr>
      <w:tblCellMar>
        <w:left w:w="0" w:type="dxa"/>
        <w:top w:w="0" w:type="dxa"/>
        <w:right w:w="0" w:type="dxa"/>
        <w:bottom w:w="0" w:type="dxa"/>
      </w:tblCellMar>
    </w:tblPr>
  </w:style>
  <w:style w:type="table" w:styleId="947" w:customStyle="1">
    <w:name w:val="网格表 6 彩色1"/>
    <w:uiPriority w:val="99"/>
    <w:qFormat/>
    <w:tblPr>
      <w:tblCellMar>
        <w:left w:w="0" w:type="dxa"/>
        <w:top w:w="0" w:type="dxa"/>
        <w:right w:w="0" w:type="dxa"/>
        <w:bottom w:w="0" w:type="dxa"/>
      </w:tblCellMar>
    </w:tblPr>
  </w:style>
  <w:style w:type="table" w:styleId="948" w:customStyle="1">
    <w:name w:val="Grid Table 6 Colorful - Accent 1"/>
    <w:uiPriority w:val="99"/>
    <w:qFormat/>
    <w:tblPr>
      <w:tblCellMar>
        <w:left w:w="0" w:type="dxa"/>
        <w:top w:w="0" w:type="dxa"/>
        <w:right w:w="0" w:type="dxa"/>
        <w:bottom w:w="0" w:type="dxa"/>
      </w:tblCellMar>
    </w:tblPr>
  </w:style>
  <w:style w:type="table" w:styleId="949" w:customStyle="1">
    <w:name w:val="Grid Table 6 Colorful - Accent 2"/>
    <w:uiPriority w:val="99"/>
    <w:qFormat/>
    <w:tblPr>
      <w:tblCellMar>
        <w:left w:w="0" w:type="dxa"/>
        <w:top w:w="0" w:type="dxa"/>
        <w:right w:w="0" w:type="dxa"/>
        <w:bottom w:w="0" w:type="dxa"/>
      </w:tblCellMar>
    </w:tblPr>
  </w:style>
  <w:style w:type="table" w:styleId="950" w:customStyle="1">
    <w:name w:val="Grid Table 6 Colorful - Accent 3"/>
    <w:uiPriority w:val="99"/>
    <w:qFormat/>
    <w:tblPr>
      <w:tblCellMar>
        <w:left w:w="0" w:type="dxa"/>
        <w:top w:w="0" w:type="dxa"/>
        <w:right w:w="0" w:type="dxa"/>
        <w:bottom w:w="0" w:type="dxa"/>
      </w:tblCellMar>
    </w:tblPr>
  </w:style>
  <w:style w:type="table" w:styleId="951" w:customStyle="1">
    <w:name w:val="Grid Table 6 Colorful - Accent 4"/>
    <w:uiPriority w:val="99"/>
    <w:qFormat/>
    <w:tblPr>
      <w:tblCellMar>
        <w:left w:w="0" w:type="dxa"/>
        <w:top w:w="0" w:type="dxa"/>
        <w:right w:w="0" w:type="dxa"/>
        <w:bottom w:w="0" w:type="dxa"/>
      </w:tblCellMar>
    </w:tblPr>
  </w:style>
  <w:style w:type="table" w:styleId="952" w:customStyle="1">
    <w:name w:val="Grid Table 6 Colorful - Accent 5"/>
    <w:uiPriority w:val="99"/>
    <w:qFormat/>
    <w:tblPr>
      <w:tblCellMar>
        <w:left w:w="0" w:type="dxa"/>
        <w:top w:w="0" w:type="dxa"/>
        <w:right w:w="0" w:type="dxa"/>
        <w:bottom w:w="0" w:type="dxa"/>
      </w:tblCellMar>
    </w:tblPr>
  </w:style>
  <w:style w:type="table" w:styleId="953" w:customStyle="1">
    <w:name w:val="Grid Table 6 Colorful - Accent 6"/>
    <w:uiPriority w:val="99"/>
    <w:qFormat/>
    <w:tblPr>
      <w:tblCellMar>
        <w:left w:w="0" w:type="dxa"/>
        <w:top w:w="0" w:type="dxa"/>
        <w:right w:w="0" w:type="dxa"/>
        <w:bottom w:w="0" w:type="dxa"/>
      </w:tblCellMar>
    </w:tblPr>
  </w:style>
  <w:style w:type="table" w:styleId="954" w:customStyle="1">
    <w:name w:val="网格表 7 彩色1"/>
    <w:uiPriority w:val="99"/>
    <w:qFormat/>
    <w:tblPr>
      <w:tblCellMar>
        <w:left w:w="0" w:type="dxa"/>
        <w:top w:w="0" w:type="dxa"/>
        <w:right w:w="0" w:type="dxa"/>
        <w:bottom w:w="0" w:type="dxa"/>
      </w:tblCellMar>
    </w:tblPr>
  </w:style>
  <w:style w:type="table" w:styleId="955" w:customStyle="1">
    <w:name w:val="Grid Table 7 Colorful - Accent 1"/>
    <w:uiPriority w:val="99"/>
    <w:qFormat/>
    <w:tblPr>
      <w:tblCellMar>
        <w:left w:w="0" w:type="dxa"/>
        <w:top w:w="0" w:type="dxa"/>
        <w:right w:w="0" w:type="dxa"/>
        <w:bottom w:w="0" w:type="dxa"/>
      </w:tblCellMar>
    </w:tblPr>
  </w:style>
  <w:style w:type="table" w:styleId="956" w:customStyle="1">
    <w:name w:val="Grid Table 7 Colorful - Accent 2"/>
    <w:uiPriority w:val="99"/>
    <w:qFormat/>
    <w:tblPr>
      <w:tblCellMar>
        <w:left w:w="0" w:type="dxa"/>
        <w:top w:w="0" w:type="dxa"/>
        <w:right w:w="0" w:type="dxa"/>
        <w:bottom w:w="0" w:type="dxa"/>
      </w:tblCellMar>
    </w:tblPr>
  </w:style>
  <w:style w:type="table" w:styleId="957" w:customStyle="1">
    <w:name w:val="Grid Table 7 Colorful - Accent 3"/>
    <w:uiPriority w:val="99"/>
    <w:qFormat/>
    <w:tblPr>
      <w:tblCellMar>
        <w:left w:w="0" w:type="dxa"/>
        <w:top w:w="0" w:type="dxa"/>
        <w:right w:w="0" w:type="dxa"/>
        <w:bottom w:w="0" w:type="dxa"/>
      </w:tblCellMar>
    </w:tblPr>
  </w:style>
  <w:style w:type="table" w:styleId="958" w:customStyle="1">
    <w:name w:val="Grid Table 7 Colorful - Accent 4"/>
    <w:uiPriority w:val="99"/>
    <w:qFormat/>
    <w:tblPr>
      <w:tblCellMar>
        <w:left w:w="0" w:type="dxa"/>
        <w:top w:w="0" w:type="dxa"/>
        <w:right w:w="0" w:type="dxa"/>
        <w:bottom w:w="0" w:type="dxa"/>
      </w:tblCellMar>
    </w:tblPr>
  </w:style>
  <w:style w:type="table" w:styleId="959" w:customStyle="1">
    <w:name w:val="Grid Table 7 Colorful - Accent 5"/>
    <w:uiPriority w:val="99"/>
    <w:qFormat/>
    <w:tblPr>
      <w:tblCellMar>
        <w:left w:w="0" w:type="dxa"/>
        <w:top w:w="0" w:type="dxa"/>
        <w:right w:w="0" w:type="dxa"/>
        <w:bottom w:w="0" w:type="dxa"/>
      </w:tblCellMar>
    </w:tblPr>
  </w:style>
  <w:style w:type="table" w:styleId="960" w:customStyle="1">
    <w:name w:val="Grid Table 7 Colorful - Accent 6"/>
    <w:uiPriority w:val="99"/>
    <w:qFormat/>
    <w:tblPr>
      <w:tblCellMar>
        <w:left w:w="0" w:type="dxa"/>
        <w:top w:w="0" w:type="dxa"/>
        <w:right w:w="0" w:type="dxa"/>
        <w:bottom w:w="0" w:type="dxa"/>
      </w:tblCellMar>
    </w:tblPr>
  </w:style>
  <w:style w:type="table" w:styleId="961" w:customStyle="1">
    <w:name w:val="清单表 1 浅色1"/>
    <w:uiPriority w:val="99"/>
    <w:qFormat/>
    <w:tblPr>
      <w:tblCellMar>
        <w:left w:w="0" w:type="dxa"/>
        <w:top w:w="0" w:type="dxa"/>
        <w:right w:w="0" w:type="dxa"/>
        <w:bottom w:w="0" w:type="dxa"/>
      </w:tblCellMar>
    </w:tblPr>
  </w:style>
  <w:style w:type="table" w:styleId="962" w:customStyle="1">
    <w:name w:val="List Table 1 Light - Accent 1"/>
    <w:uiPriority w:val="99"/>
    <w:qFormat/>
    <w:tblPr>
      <w:tblCellMar>
        <w:left w:w="0" w:type="dxa"/>
        <w:top w:w="0" w:type="dxa"/>
        <w:right w:w="0" w:type="dxa"/>
        <w:bottom w:w="0" w:type="dxa"/>
      </w:tblCellMar>
    </w:tblPr>
  </w:style>
  <w:style w:type="table" w:styleId="963" w:customStyle="1">
    <w:name w:val="List Table 1 Light - Accent 2"/>
    <w:uiPriority w:val="99"/>
    <w:qFormat/>
    <w:tblPr>
      <w:tblCellMar>
        <w:left w:w="0" w:type="dxa"/>
        <w:top w:w="0" w:type="dxa"/>
        <w:right w:w="0" w:type="dxa"/>
        <w:bottom w:w="0" w:type="dxa"/>
      </w:tblCellMar>
    </w:tblPr>
  </w:style>
  <w:style w:type="table" w:styleId="964" w:customStyle="1">
    <w:name w:val="List Table 1 Light - Accent 3"/>
    <w:uiPriority w:val="99"/>
    <w:qFormat/>
    <w:tblPr>
      <w:tblCellMar>
        <w:left w:w="0" w:type="dxa"/>
        <w:top w:w="0" w:type="dxa"/>
        <w:right w:w="0" w:type="dxa"/>
        <w:bottom w:w="0" w:type="dxa"/>
      </w:tblCellMar>
    </w:tblPr>
  </w:style>
  <w:style w:type="table" w:styleId="965" w:customStyle="1">
    <w:name w:val="List Table 1 Light - Accent 4"/>
    <w:uiPriority w:val="99"/>
    <w:qFormat/>
    <w:tblPr>
      <w:tblCellMar>
        <w:left w:w="0" w:type="dxa"/>
        <w:top w:w="0" w:type="dxa"/>
        <w:right w:w="0" w:type="dxa"/>
        <w:bottom w:w="0" w:type="dxa"/>
      </w:tblCellMar>
    </w:tblPr>
  </w:style>
  <w:style w:type="table" w:styleId="966" w:customStyle="1">
    <w:name w:val="List Table 1 Light - Accent 5"/>
    <w:uiPriority w:val="99"/>
    <w:qFormat/>
    <w:tblPr>
      <w:tblCellMar>
        <w:left w:w="0" w:type="dxa"/>
        <w:top w:w="0" w:type="dxa"/>
        <w:right w:w="0" w:type="dxa"/>
        <w:bottom w:w="0" w:type="dxa"/>
      </w:tblCellMar>
    </w:tblPr>
  </w:style>
  <w:style w:type="table" w:styleId="967" w:customStyle="1">
    <w:name w:val="List Table 1 Light - Accent 6"/>
    <w:uiPriority w:val="99"/>
    <w:qFormat/>
    <w:tblPr>
      <w:tblCellMar>
        <w:left w:w="0" w:type="dxa"/>
        <w:top w:w="0" w:type="dxa"/>
        <w:right w:w="0" w:type="dxa"/>
        <w:bottom w:w="0" w:type="dxa"/>
      </w:tblCellMar>
    </w:tblPr>
  </w:style>
  <w:style w:type="table" w:styleId="968" w:customStyle="1">
    <w:name w:val="清单表 21"/>
    <w:uiPriority w:val="99"/>
    <w:qFormat/>
    <w:tblPr>
      <w:tblCellMar>
        <w:left w:w="0" w:type="dxa"/>
        <w:top w:w="0" w:type="dxa"/>
        <w:right w:w="0" w:type="dxa"/>
        <w:bottom w:w="0" w:type="dxa"/>
      </w:tblCellMar>
    </w:tblPr>
  </w:style>
  <w:style w:type="table" w:styleId="969" w:customStyle="1">
    <w:name w:val="List Table 2 - Accent 1"/>
    <w:uiPriority w:val="99"/>
    <w:qFormat/>
    <w:tblPr>
      <w:tblCellMar>
        <w:left w:w="0" w:type="dxa"/>
        <w:top w:w="0" w:type="dxa"/>
        <w:right w:w="0" w:type="dxa"/>
        <w:bottom w:w="0" w:type="dxa"/>
      </w:tblCellMar>
    </w:tblPr>
  </w:style>
  <w:style w:type="table" w:styleId="970" w:customStyle="1">
    <w:name w:val="List Table 2 - Accent 2"/>
    <w:uiPriority w:val="99"/>
    <w:qFormat/>
    <w:tblPr>
      <w:tblCellMar>
        <w:left w:w="0" w:type="dxa"/>
        <w:top w:w="0" w:type="dxa"/>
        <w:right w:w="0" w:type="dxa"/>
        <w:bottom w:w="0" w:type="dxa"/>
      </w:tblCellMar>
    </w:tblPr>
  </w:style>
  <w:style w:type="table" w:styleId="971" w:customStyle="1">
    <w:name w:val="List Table 2 - Accent 3"/>
    <w:uiPriority w:val="99"/>
    <w:qFormat/>
    <w:tblPr>
      <w:tblCellMar>
        <w:left w:w="0" w:type="dxa"/>
        <w:top w:w="0" w:type="dxa"/>
        <w:right w:w="0" w:type="dxa"/>
        <w:bottom w:w="0" w:type="dxa"/>
      </w:tblCellMar>
    </w:tblPr>
  </w:style>
  <w:style w:type="table" w:styleId="972" w:customStyle="1">
    <w:name w:val="List Table 2 - Accent 4"/>
    <w:uiPriority w:val="99"/>
    <w:qFormat/>
    <w:tblPr>
      <w:tblCellMar>
        <w:left w:w="0" w:type="dxa"/>
        <w:top w:w="0" w:type="dxa"/>
        <w:right w:w="0" w:type="dxa"/>
        <w:bottom w:w="0" w:type="dxa"/>
      </w:tblCellMar>
    </w:tblPr>
  </w:style>
  <w:style w:type="table" w:styleId="973" w:customStyle="1">
    <w:name w:val="List Table 2 - Accent 5"/>
    <w:uiPriority w:val="99"/>
    <w:qFormat/>
    <w:tblPr>
      <w:tblCellMar>
        <w:left w:w="0" w:type="dxa"/>
        <w:top w:w="0" w:type="dxa"/>
        <w:right w:w="0" w:type="dxa"/>
        <w:bottom w:w="0" w:type="dxa"/>
      </w:tblCellMar>
    </w:tblPr>
  </w:style>
  <w:style w:type="table" w:styleId="974" w:customStyle="1">
    <w:name w:val="List Table 2 - Accent 6"/>
    <w:uiPriority w:val="99"/>
    <w:qFormat/>
    <w:tblPr>
      <w:tblCellMar>
        <w:left w:w="0" w:type="dxa"/>
        <w:top w:w="0" w:type="dxa"/>
        <w:right w:w="0" w:type="dxa"/>
        <w:bottom w:w="0" w:type="dxa"/>
      </w:tblCellMar>
    </w:tblPr>
  </w:style>
  <w:style w:type="table" w:styleId="975" w:customStyle="1">
    <w:name w:val="清单表 31"/>
    <w:uiPriority w:val="99"/>
    <w:qFormat/>
    <w:tblPr>
      <w:tblCellMar>
        <w:left w:w="0" w:type="dxa"/>
        <w:top w:w="0" w:type="dxa"/>
        <w:right w:w="0" w:type="dxa"/>
        <w:bottom w:w="0" w:type="dxa"/>
      </w:tblCellMar>
    </w:tblPr>
  </w:style>
  <w:style w:type="table" w:styleId="976" w:customStyle="1">
    <w:name w:val="List Table 3 - Accent 1"/>
    <w:uiPriority w:val="99"/>
    <w:qFormat/>
    <w:tblPr>
      <w:tblCellMar>
        <w:left w:w="0" w:type="dxa"/>
        <w:top w:w="0" w:type="dxa"/>
        <w:right w:w="0" w:type="dxa"/>
        <w:bottom w:w="0" w:type="dxa"/>
      </w:tblCellMar>
    </w:tblPr>
  </w:style>
  <w:style w:type="table" w:styleId="977" w:customStyle="1">
    <w:name w:val="List Table 3 - Accent 2"/>
    <w:uiPriority w:val="99"/>
    <w:qFormat/>
    <w:tblPr>
      <w:tblCellMar>
        <w:left w:w="0" w:type="dxa"/>
        <w:top w:w="0" w:type="dxa"/>
        <w:right w:w="0" w:type="dxa"/>
        <w:bottom w:w="0" w:type="dxa"/>
      </w:tblCellMar>
    </w:tblPr>
  </w:style>
  <w:style w:type="table" w:styleId="978" w:customStyle="1">
    <w:name w:val="List Table 3 - Accent 3"/>
    <w:uiPriority w:val="99"/>
    <w:qFormat/>
    <w:tblPr>
      <w:tblCellMar>
        <w:left w:w="0" w:type="dxa"/>
        <w:top w:w="0" w:type="dxa"/>
        <w:right w:w="0" w:type="dxa"/>
        <w:bottom w:w="0" w:type="dxa"/>
      </w:tblCellMar>
    </w:tblPr>
  </w:style>
  <w:style w:type="table" w:styleId="979" w:customStyle="1">
    <w:name w:val="List Table 3 - Accent 4"/>
    <w:uiPriority w:val="99"/>
    <w:qFormat/>
    <w:tblPr>
      <w:tblCellMar>
        <w:left w:w="0" w:type="dxa"/>
        <w:top w:w="0" w:type="dxa"/>
        <w:right w:w="0" w:type="dxa"/>
        <w:bottom w:w="0" w:type="dxa"/>
      </w:tblCellMar>
    </w:tblPr>
  </w:style>
  <w:style w:type="table" w:styleId="980" w:customStyle="1">
    <w:name w:val="List Table 3 - Accent 5"/>
    <w:uiPriority w:val="99"/>
    <w:qFormat/>
    <w:tblPr>
      <w:tblCellMar>
        <w:left w:w="0" w:type="dxa"/>
        <w:top w:w="0" w:type="dxa"/>
        <w:right w:w="0" w:type="dxa"/>
        <w:bottom w:w="0" w:type="dxa"/>
      </w:tblCellMar>
    </w:tblPr>
  </w:style>
  <w:style w:type="table" w:styleId="981" w:customStyle="1">
    <w:name w:val="List Table 3 - Accent 6"/>
    <w:uiPriority w:val="99"/>
    <w:qFormat/>
    <w:tblPr>
      <w:tblCellMar>
        <w:left w:w="0" w:type="dxa"/>
        <w:top w:w="0" w:type="dxa"/>
        <w:right w:w="0" w:type="dxa"/>
        <w:bottom w:w="0" w:type="dxa"/>
      </w:tblCellMar>
    </w:tblPr>
  </w:style>
  <w:style w:type="table" w:styleId="982" w:customStyle="1">
    <w:name w:val="清单表 41"/>
    <w:uiPriority w:val="99"/>
    <w:qFormat/>
    <w:tblPr>
      <w:tblCellMar>
        <w:left w:w="0" w:type="dxa"/>
        <w:top w:w="0" w:type="dxa"/>
        <w:right w:w="0" w:type="dxa"/>
        <w:bottom w:w="0" w:type="dxa"/>
      </w:tblCellMar>
    </w:tblPr>
  </w:style>
  <w:style w:type="table" w:styleId="983" w:customStyle="1">
    <w:name w:val="List Table 4 - Accent 1"/>
    <w:uiPriority w:val="99"/>
    <w:qFormat/>
    <w:tblPr>
      <w:tblCellMar>
        <w:left w:w="0" w:type="dxa"/>
        <w:top w:w="0" w:type="dxa"/>
        <w:right w:w="0" w:type="dxa"/>
        <w:bottom w:w="0" w:type="dxa"/>
      </w:tblCellMar>
    </w:tblPr>
  </w:style>
  <w:style w:type="table" w:styleId="984" w:customStyle="1">
    <w:name w:val="List Table 4 - Accent 2"/>
    <w:uiPriority w:val="99"/>
    <w:qFormat/>
    <w:tblPr>
      <w:tblCellMar>
        <w:left w:w="0" w:type="dxa"/>
        <w:top w:w="0" w:type="dxa"/>
        <w:right w:w="0" w:type="dxa"/>
        <w:bottom w:w="0" w:type="dxa"/>
      </w:tblCellMar>
    </w:tblPr>
  </w:style>
  <w:style w:type="table" w:styleId="985" w:customStyle="1">
    <w:name w:val="List Table 4 - Accent 3"/>
    <w:uiPriority w:val="99"/>
    <w:qFormat/>
    <w:tblPr>
      <w:tblCellMar>
        <w:left w:w="0" w:type="dxa"/>
        <w:top w:w="0" w:type="dxa"/>
        <w:right w:w="0" w:type="dxa"/>
        <w:bottom w:w="0" w:type="dxa"/>
      </w:tblCellMar>
    </w:tblPr>
  </w:style>
  <w:style w:type="table" w:styleId="986" w:customStyle="1">
    <w:name w:val="List Table 4 - Accent 4"/>
    <w:uiPriority w:val="99"/>
    <w:qFormat/>
    <w:tblPr>
      <w:tblCellMar>
        <w:left w:w="0" w:type="dxa"/>
        <w:top w:w="0" w:type="dxa"/>
        <w:right w:w="0" w:type="dxa"/>
        <w:bottom w:w="0" w:type="dxa"/>
      </w:tblCellMar>
    </w:tblPr>
  </w:style>
  <w:style w:type="table" w:styleId="987" w:customStyle="1">
    <w:name w:val="List Table 4 - Accent 5"/>
    <w:uiPriority w:val="99"/>
    <w:qFormat/>
    <w:tblPr>
      <w:tblCellMar>
        <w:left w:w="0" w:type="dxa"/>
        <w:top w:w="0" w:type="dxa"/>
        <w:right w:w="0" w:type="dxa"/>
        <w:bottom w:w="0" w:type="dxa"/>
      </w:tblCellMar>
    </w:tblPr>
  </w:style>
  <w:style w:type="table" w:styleId="988" w:customStyle="1">
    <w:name w:val="List Table 4 - Accent 6"/>
    <w:uiPriority w:val="99"/>
    <w:qFormat/>
    <w:tblPr>
      <w:tblCellMar>
        <w:left w:w="0" w:type="dxa"/>
        <w:top w:w="0" w:type="dxa"/>
        <w:right w:w="0" w:type="dxa"/>
        <w:bottom w:w="0" w:type="dxa"/>
      </w:tblCellMar>
    </w:tblPr>
  </w:style>
  <w:style w:type="table" w:styleId="989" w:customStyle="1">
    <w:name w:val="清单表 5 深色1"/>
    <w:uiPriority w:val="99"/>
    <w:qFormat/>
    <w:tblPr>
      <w:tblCellMar>
        <w:left w:w="0" w:type="dxa"/>
        <w:top w:w="0" w:type="dxa"/>
        <w:right w:w="0" w:type="dxa"/>
        <w:bottom w:w="0" w:type="dxa"/>
      </w:tblCellMar>
    </w:tblPr>
  </w:style>
  <w:style w:type="table" w:styleId="990" w:customStyle="1">
    <w:name w:val="List Table 5 Dark - Accent 1"/>
    <w:uiPriority w:val="99"/>
    <w:qFormat/>
    <w:tblPr>
      <w:tblCellMar>
        <w:left w:w="0" w:type="dxa"/>
        <w:top w:w="0" w:type="dxa"/>
        <w:right w:w="0" w:type="dxa"/>
        <w:bottom w:w="0" w:type="dxa"/>
      </w:tblCellMar>
    </w:tblPr>
  </w:style>
  <w:style w:type="table" w:styleId="991" w:customStyle="1">
    <w:name w:val="List Table 5 Dark - Accent 2"/>
    <w:uiPriority w:val="99"/>
    <w:qFormat/>
    <w:tblPr>
      <w:tblCellMar>
        <w:left w:w="0" w:type="dxa"/>
        <w:top w:w="0" w:type="dxa"/>
        <w:right w:w="0" w:type="dxa"/>
        <w:bottom w:w="0" w:type="dxa"/>
      </w:tblCellMar>
    </w:tblPr>
  </w:style>
  <w:style w:type="table" w:styleId="992" w:customStyle="1">
    <w:name w:val="List Table 5 Dark - Accent 3"/>
    <w:uiPriority w:val="99"/>
    <w:qFormat/>
    <w:tblPr>
      <w:tblCellMar>
        <w:left w:w="0" w:type="dxa"/>
        <w:top w:w="0" w:type="dxa"/>
        <w:right w:w="0" w:type="dxa"/>
        <w:bottom w:w="0" w:type="dxa"/>
      </w:tblCellMar>
    </w:tblPr>
  </w:style>
  <w:style w:type="table" w:styleId="993" w:customStyle="1">
    <w:name w:val="List Table 5 Dark - Accent 4"/>
    <w:uiPriority w:val="99"/>
    <w:qFormat/>
    <w:tblPr>
      <w:tblCellMar>
        <w:left w:w="0" w:type="dxa"/>
        <w:top w:w="0" w:type="dxa"/>
        <w:right w:w="0" w:type="dxa"/>
        <w:bottom w:w="0" w:type="dxa"/>
      </w:tblCellMar>
    </w:tblPr>
  </w:style>
  <w:style w:type="table" w:styleId="994" w:customStyle="1">
    <w:name w:val="List Table 5 Dark - Accent 5"/>
    <w:uiPriority w:val="99"/>
    <w:qFormat/>
    <w:tblPr>
      <w:tblCellMar>
        <w:left w:w="0" w:type="dxa"/>
        <w:top w:w="0" w:type="dxa"/>
        <w:right w:w="0" w:type="dxa"/>
        <w:bottom w:w="0" w:type="dxa"/>
      </w:tblCellMar>
    </w:tblPr>
  </w:style>
  <w:style w:type="table" w:styleId="995" w:customStyle="1">
    <w:name w:val="List Table 5 Dark - Accent 6"/>
    <w:uiPriority w:val="99"/>
    <w:qFormat/>
    <w:tblPr>
      <w:tblCellMar>
        <w:left w:w="0" w:type="dxa"/>
        <w:top w:w="0" w:type="dxa"/>
        <w:right w:w="0" w:type="dxa"/>
        <w:bottom w:w="0" w:type="dxa"/>
      </w:tblCellMar>
    </w:tblPr>
  </w:style>
  <w:style w:type="table" w:styleId="996" w:customStyle="1">
    <w:name w:val="清单表 6 彩色1"/>
    <w:uiPriority w:val="99"/>
    <w:qFormat/>
    <w:tblPr>
      <w:tblCellMar>
        <w:left w:w="0" w:type="dxa"/>
        <w:top w:w="0" w:type="dxa"/>
        <w:right w:w="0" w:type="dxa"/>
        <w:bottom w:w="0" w:type="dxa"/>
      </w:tblCellMar>
    </w:tblPr>
  </w:style>
  <w:style w:type="table" w:styleId="997" w:customStyle="1">
    <w:name w:val="List Table 6 Colorful - Accent 1"/>
    <w:uiPriority w:val="99"/>
    <w:qFormat/>
    <w:tblPr>
      <w:tblCellMar>
        <w:left w:w="0" w:type="dxa"/>
        <w:top w:w="0" w:type="dxa"/>
        <w:right w:w="0" w:type="dxa"/>
        <w:bottom w:w="0" w:type="dxa"/>
      </w:tblCellMar>
    </w:tblPr>
  </w:style>
  <w:style w:type="table" w:styleId="998" w:customStyle="1">
    <w:name w:val="List Table 6 Colorful - Accent 2"/>
    <w:uiPriority w:val="99"/>
    <w:qFormat/>
    <w:tblPr>
      <w:tblCellMar>
        <w:left w:w="0" w:type="dxa"/>
        <w:top w:w="0" w:type="dxa"/>
        <w:right w:w="0" w:type="dxa"/>
        <w:bottom w:w="0" w:type="dxa"/>
      </w:tblCellMar>
    </w:tblPr>
  </w:style>
  <w:style w:type="table" w:styleId="999" w:customStyle="1">
    <w:name w:val="List Table 6 Colorful - Accent 3"/>
    <w:uiPriority w:val="99"/>
    <w:qFormat/>
    <w:tblPr>
      <w:tblCellMar>
        <w:left w:w="0" w:type="dxa"/>
        <w:top w:w="0" w:type="dxa"/>
        <w:right w:w="0" w:type="dxa"/>
        <w:bottom w:w="0" w:type="dxa"/>
      </w:tblCellMar>
    </w:tblPr>
  </w:style>
  <w:style w:type="table" w:styleId="1000" w:customStyle="1">
    <w:name w:val="List Table 6 Colorful - Accent 4"/>
    <w:uiPriority w:val="99"/>
    <w:qFormat/>
    <w:tblPr>
      <w:tblCellMar>
        <w:left w:w="0" w:type="dxa"/>
        <w:top w:w="0" w:type="dxa"/>
        <w:right w:w="0" w:type="dxa"/>
        <w:bottom w:w="0" w:type="dxa"/>
      </w:tblCellMar>
    </w:tblPr>
  </w:style>
  <w:style w:type="table" w:styleId="1001" w:customStyle="1">
    <w:name w:val="List Table 6 Colorful - Accent 5"/>
    <w:uiPriority w:val="99"/>
    <w:qFormat/>
    <w:tblPr>
      <w:tblCellMar>
        <w:left w:w="0" w:type="dxa"/>
        <w:top w:w="0" w:type="dxa"/>
        <w:right w:w="0" w:type="dxa"/>
        <w:bottom w:w="0" w:type="dxa"/>
      </w:tblCellMar>
    </w:tblPr>
  </w:style>
  <w:style w:type="table" w:styleId="1002" w:customStyle="1">
    <w:name w:val="List Table 6 Colorful - Accent 6"/>
    <w:uiPriority w:val="99"/>
    <w:qFormat/>
    <w:tblPr>
      <w:tblCellMar>
        <w:left w:w="0" w:type="dxa"/>
        <w:top w:w="0" w:type="dxa"/>
        <w:right w:w="0" w:type="dxa"/>
        <w:bottom w:w="0" w:type="dxa"/>
      </w:tblCellMar>
    </w:tblPr>
  </w:style>
  <w:style w:type="table" w:styleId="1003" w:customStyle="1">
    <w:name w:val="清单表 7 彩色1"/>
    <w:uiPriority w:val="99"/>
    <w:qFormat/>
    <w:tblPr>
      <w:tblCellMar>
        <w:left w:w="0" w:type="dxa"/>
        <w:top w:w="0" w:type="dxa"/>
        <w:right w:w="0" w:type="dxa"/>
        <w:bottom w:w="0" w:type="dxa"/>
      </w:tblCellMar>
    </w:tblPr>
  </w:style>
  <w:style w:type="table" w:styleId="1004" w:customStyle="1">
    <w:name w:val="List Table 7 Colorful - Accent 1"/>
    <w:uiPriority w:val="99"/>
    <w:qFormat/>
    <w:tblPr>
      <w:tblCellMar>
        <w:left w:w="0" w:type="dxa"/>
        <w:top w:w="0" w:type="dxa"/>
        <w:right w:w="0" w:type="dxa"/>
        <w:bottom w:w="0" w:type="dxa"/>
      </w:tblCellMar>
    </w:tblPr>
  </w:style>
  <w:style w:type="table" w:styleId="1005" w:customStyle="1">
    <w:name w:val="List Table 7 Colorful - Accent 2"/>
    <w:uiPriority w:val="99"/>
    <w:qFormat/>
    <w:tblPr>
      <w:tblCellMar>
        <w:left w:w="0" w:type="dxa"/>
        <w:top w:w="0" w:type="dxa"/>
        <w:right w:w="0" w:type="dxa"/>
        <w:bottom w:w="0" w:type="dxa"/>
      </w:tblCellMar>
    </w:tblPr>
  </w:style>
  <w:style w:type="table" w:styleId="1006" w:customStyle="1">
    <w:name w:val="List Table 7 Colorful - Accent 3"/>
    <w:uiPriority w:val="99"/>
    <w:qFormat/>
    <w:tblPr>
      <w:tblCellMar>
        <w:left w:w="0" w:type="dxa"/>
        <w:top w:w="0" w:type="dxa"/>
        <w:right w:w="0" w:type="dxa"/>
        <w:bottom w:w="0" w:type="dxa"/>
      </w:tblCellMar>
    </w:tblPr>
  </w:style>
  <w:style w:type="table" w:styleId="1007" w:customStyle="1">
    <w:name w:val="List Table 7 Colorful - Accent 4"/>
    <w:uiPriority w:val="99"/>
    <w:qFormat/>
    <w:tblPr>
      <w:tblCellMar>
        <w:left w:w="0" w:type="dxa"/>
        <w:top w:w="0" w:type="dxa"/>
        <w:right w:w="0" w:type="dxa"/>
        <w:bottom w:w="0" w:type="dxa"/>
      </w:tblCellMar>
    </w:tblPr>
  </w:style>
  <w:style w:type="table" w:styleId="1008" w:customStyle="1">
    <w:name w:val="List Table 7 Colorful - Accent 5"/>
    <w:uiPriority w:val="99"/>
    <w:qFormat/>
    <w:tblPr>
      <w:tblCellMar>
        <w:left w:w="0" w:type="dxa"/>
        <w:top w:w="0" w:type="dxa"/>
        <w:right w:w="0" w:type="dxa"/>
        <w:bottom w:w="0" w:type="dxa"/>
      </w:tblCellMar>
    </w:tblPr>
  </w:style>
  <w:style w:type="table" w:styleId="1009" w:customStyle="1">
    <w:name w:val="List Table 7 Colorful - Accent 6"/>
    <w:uiPriority w:val="99"/>
    <w:qFormat/>
    <w:tblPr>
      <w:tblCellMar>
        <w:left w:w="0" w:type="dxa"/>
        <w:top w:w="0" w:type="dxa"/>
        <w:right w:w="0" w:type="dxa"/>
        <w:bottom w:w="0" w:type="dxa"/>
      </w:tblCellMar>
    </w:tblPr>
  </w:style>
  <w:style w:type="table" w:styleId="1010" w:customStyle="1">
    <w:name w:val="Lined - Accent"/>
    <w:uiPriority w:val="99"/>
    <w:qFormat/>
    <w:rPr>
      <w:color w:val="404040"/>
    </w:rPr>
    <w:tblPr>
      <w:tblCellMar>
        <w:left w:w="0" w:type="dxa"/>
        <w:top w:w="0" w:type="dxa"/>
        <w:right w:w="0" w:type="dxa"/>
        <w:bottom w:w="0" w:type="dxa"/>
      </w:tblCellMar>
    </w:tblPr>
  </w:style>
  <w:style w:type="table" w:styleId="1011" w:customStyle="1">
    <w:name w:val="Lined - Accent 1"/>
    <w:uiPriority w:val="99"/>
    <w:qFormat/>
    <w:rPr>
      <w:color w:val="404040"/>
    </w:rPr>
    <w:tblPr>
      <w:tblCellMar>
        <w:left w:w="0" w:type="dxa"/>
        <w:top w:w="0" w:type="dxa"/>
        <w:right w:w="0" w:type="dxa"/>
        <w:bottom w:w="0" w:type="dxa"/>
      </w:tblCellMar>
    </w:tblPr>
  </w:style>
  <w:style w:type="table" w:styleId="1012" w:customStyle="1">
    <w:name w:val="Lined - Accent 2"/>
    <w:uiPriority w:val="99"/>
    <w:qFormat/>
    <w:rPr>
      <w:color w:val="404040"/>
    </w:rPr>
    <w:tblPr>
      <w:tblCellMar>
        <w:left w:w="0" w:type="dxa"/>
        <w:top w:w="0" w:type="dxa"/>
        <w:right w:w="0" w:type="dxa"/>
        <w:bottom w:w="0" w:type="dxa"/>
      </w:tblCellMar>
    </w:tblPr>
  </w:style>
  <w:style w:type="table" w:styleId="1013" w:customStyle="1">
    <w:name w:val="Lined - Accent 3"/>
    <w:uiPriority w:val="99"/>
    <w:qFormat/>
    <w:rPr>
      <w:color w:val="404040"/>
    </w:rPr>
    <w:tblPr>
      <w:tblCellMar>
        <w:left w:w="0" w:type="dxa"/>
        <w:top w:w="0" w:type="dxa"/>
        <w:right w:w="0" w:type="dxa"/>
        <w:bottom w:w="0" w:type="dxa"/>
      </w:tblCellMar>
    </w:tblPr>
  </w:style>
  <w:style w:type="table" w:styleId="1014" w:customStyle="1">
    <w:name w:val="Lined - Accent 4"/>
    <w:uiPriority w:val="99"/>
    <w:qFormat/>
    <w:rPr>
      <w:color w:val="404040"/>
    </w:rPr>
    <w:tblPr>
      <w:tblCellMar>
        <w:left w:w="0" w:type="dxa"/>
        <w:top w:w="0" w:type="dxa"/>
        <w:right w:w="0" w:type="dxa"/>
        <w:bottom w:w="0" w:type="dxa"/>
      </w:tblCellMar>
    </w:tblPr>
  </w:style>
  <w:style w:type="table" w:styleId="1015" w:customStyle="1">
    <w:name w:val="Lined - Accent 5"/>
    <w:uiPriority w:val="99"/>
    <w:qFormat/>
    <w:rPr>
      <w:color w:val="404040"/>
    </w:rPr>
    <w:tblPr>
      <w:tblCellMar>
        <w:left w:w="0" w:type="dxa"/>
        <w:top w:w="0" w:type="dxa"/>
        <w:right w:w="0" w:type="dxa"/>
        <w:bottom w:w="0" w:type="dxa"/>
      </w:tblCellMar>
    </w:tblPr>
  </w:style>
  <w:style w:type="table" w:styleId="1016" w:customStyle="1">
    <w:name w:val="Lined - Accent 6"/>
    <w:uiPriority w:val="99"/>
    <w:qFormat/>
    <w:rPr>
      <w:color w:val="404040"/>
    </w:rPr>
    <w:tblPr>
      <w:tblCellMar>
        <w:left w:w="0" w:type="dxa"/>
        <w:top w:w="0" w:type="dxa"/>
        <w:right w:w="0" w:type="dxa"/>
        <w:bottom w:w="0" w:type="dxa"/>
      </w:tblCellMar>
    </w:tblPr>
  </w:style>
  <w:style w:type="table" w:styleId="1017" w:customStyle="1">
    <w:name w:val="Bordered &amp; Lined - Accent"/>
    <w:uiPriority w:val="99"/>
    <w:qFormat/>
    <w:rPr>
      <w:color w:val="404040"/>
    </w:rPr>
    <w:tblPr>
      <w:tblCellMar>
        <w:left w:w="0" w:type="dxa"/>
        <w:top w:w="0" w:type="dxa"/>
        <w:right w:w="0" w:type="dxa"/>
        <w:bottom w:w="0" w:type="dxa"/>
      </w:tblCellMar>
    </w:tblPr>
  </w:style>
  <w:style w:type="table" w:styleId="1018" w:customStyle="1">
    <w:name w:val="Bordered &amp; Lined - Accent 1"/>
    <w:uiPriority w:val="99"/>
    <w:qFormat/>
    <w:rPr>
      <w:color w:val="404040"/>
    </w:rPr>
    <w:tblPr>
      <w:tblCellMar>
        <w:left w:w="0" w:type="dxa"/>
        <w:top w:w="0" w:type="dxa"/>
        <w:right w:w="0" w:type="dxa"/>
        <w:bottom w:w="0" w:type="dxa"/>
      </w:tblCellMar>
    </w:tblPr>
  </w:style>
  <w:style w:type="table" w:styleId="1019" w:customStyle="1">
    <w:name w:val="Bordered &amp; Lined - Accent 2"/>
    <w:uiPriority w:val="99"/>
    <w:qFormat/>
    <w:rPr>
      <w:color w:val="404040"/>
    </w:rPr>
    <w:tblPr>
      <w:tblCellMar>
        <w:left w:w="0" w:type="dxa"/>
        <w:top w:w="0" w:type="dxa"/>
        <w:right w:w="0" w:type="dxa"/>
        <w:bottom w:w="0" w:type="dxa"/>
      </w:tblCellMar>
    </w:tblPr>
  </w:style>
  <w:style w:type="table" w:styleId="1020" w:customStyle="1">
    <w:name w:val="Bordered &amp; Lined - Accent 3"/>
    <w:uiPriority w:val="99"/>
    <w:qFormat/>
    <w:rPr>
      <w:color w:val="404040"/>
    </w:rPr>
    <w:tblPr>
      <w:tblCellMar>
        <w:left w:w="0" w:type="dxa"/>
        <w:top w:w="0" w:type="dxa"/>
        <w:right w:w="0" w:type="dxa"/>
        <w:bottom w:w="0" w:type="dxa"/>
      </w:tblCellMar>
    </w:tblPr>
  </w:style>
  <w:style w:type="table" w:styleId="1021" w:customStyle="1">
    <w:name w:val="Bordered &amp; Lined - Accent 4"/>
    <w:uiPriority w:val="99"/>
    <w:qFormat/>
    <w:rPr>
      <w:color w:val="404040"/>
    </w:rPr>
    <w:tblPr>
      <w:tblCellMar>
        <w:left w:w="0" w:type="dxa"/>
        <w:top w:w="0" w:type="dxa"/>
        <w:right w:w="0" w:type="dxa"/>
        <w:bottom w:w="0" w:type="dxa"/>
      </w:tblCellMar>
    </w:tblPr>
  </w:style>
  <w:style w:type="table" w:styleId="1022" w:customStyle="1">
    <w:name w:val="Bordered &amp; Lined - Accent 5"/>
    <w:uiPriority w:val="99"/>
    <w:qFormat/>
    <w:rPr>
      <w:color w:val="404040"/>
    </w:rPr>
    <w:tblPr>
      <w:tblCellMar>
        <w:left w:w="0" w:type="dxa"/>
        <w:top w:w="0" w:type="dxa"/>
        <w:right w:w="0" w:type="dxa"/>
        <w:bottom w:w="0" w:type="dxa"/>
      </w:tblCellMar>
    </w:tblPr>
  </w:style>
  <w:style w:type="table" w:styleId="1023" w:customStyle="1">
    <w:name w:val="Bordered &amp; Lined - Accent 6"/>
    <w:uiPriority w:val="99"/>
    <w:qFormat/>
    <w:rPr>
      <w:color w:val="404040"/>
    </w:rPr>
    <w:tblPr>
      <w:tblCellMar>
        <w:left w:w="0" w:type="dxa"/>
        <w:top w:w="0" w:type="dxa"/>
        <w:right w:w="0" w:type="dxa"/>
        <w:bottom w:w="0" w:type="dxa"/>
      </w:tblCellMar>
    </w:tblPr>
  </w:style>
  <w:style w:type="table" w:styleId="1024" w:customStyle="1">
    <w:name w:val="Bordered"/>
    <w:uiPriority w:val="99"/>
    <w:qFormat/>
    <w:tblPr>
      <w:tblCellMar>
        <w:left w:w="0" w:type="dxa"/>
        <w:top w:w="0" w:type="dxa"/>
        <w:right w:w="0" w:type="dxa"/>
        <w:bottom w:w="0" w:type="dxa"/>
      </w:tblCellMar>
    </w:tblPr>
  </w:style>
  <w:style w:type="table" w:styleId="1025" w:customStyle="1">
    <w:name w:val="Bordered - Accent 1"/>
    <w:uiPriority w:val="99"/>
    <w:qFormat/>
    <w:tblPr>
      <w:tblCellMar>
        <w:left w:w="0" w:type="dxa"/>
        <w:top w:w="0" w:type="dxa"/>
        <w:right w:w="0" w:type="dxa"/>
        <w:bottom w:w="0" w:type="dxa"/>
      </w:tblCellMar>
    </w:tblPr>
  </w:style>
  <w:style w:type="table" w:styleId="1026" w:customStyle="1">
    <w:name w:val="Bordered - Accent 2"/>
    <w:uiPriority w:val="99"/>
    <w:qFormat/>
    <w:tblPr>
      <w:tblCellMar>
        <w:left w:w="0" w:type="dxa"/>
        <w:top w:w="0" w:type="dxa"/>
        <w:right w:w="0" w:type="dxa"/>
        <w:bottom w:w="0" w:type="dxa"/>
      </w:tblCellMar>
    </w:tblPr>
  </w:style>
  <w:style w:type="table" w:styleId="1027" w:customStyle="1">
    <w:name w:val="Bordered - Accent 3"/>
    <w:uiPriority w:val="99"/>
    <w:qFormat/>
    <w:tblPr>
      <w:tblCellMar>
        <w:left w:w="0" w:type="dxa"/>
        <w:top w:w="0" w:type="dxa"/>
        <w:right w:w="0" w:type="dxa"/>
        <w:bottom w:w="0" w:type="dxa"/>
      </w:tblCellMar>
    </w:tblPr>
  </w:style>
  <w:style w:type="table" w:styleId="1028" w:customStyle="1">
    <w:name w:val="Bordered - Accent 4"/>
    <w:uiPriority w:val="99"/>
    <w:qFormat/>
    <w:tblPr>
      <w:tblCellMar>
        <w:left w:w="0" w:type="dxa"/>
        <w:top w:w="0" w:type="dxa"/>
        <w:right w:w="0" w:type="dxa"/>
        <w:bottom w:w="0" w:type="dxa"/>
      </w:tblCellMar>
    </w:tblPr>
  </w:style>
  <w:style w:type="table" w:styleId="1029" w:customStyle="1">
    <w:name w:val="Bordered - Accent 5"/>
    <w:uiPriority w:val="99"/>
    <w:qFormat/>
    <w:tblPr>
      <w:tblCellMar>
        <w:left w:w="0" w:type="dxa"/>
        <w:top w:w="0" w:type="dxa"/>
        <w:right w:w="0" w:type="dxa"/>
        <w:bottom w:w="0" w:type="dxa"/>
      </w:tblCellMar>
    </w:tblPr>
  </w:style>
  <w:style w:type="table" w:styleId="1030" w:customStyle="1">
    <w:name w:val="Bordered - Accent 6"/>
    <w:uiPriority w:val="99"/>
    <w:qFormat/>
    <w:tblPr>
      <w:tblCellMar>
        <w:left w:w="0" w:type="dxa"/>
        <w:top w:w="0" w:type="dxa"/>
        <w:right w:w="0" w:type="dxa"/>
        <w:bottom w:w="0" w:type="dxa"/>
      </w:tblCellMar>
    </w:tblPr>
  </w:style>
  <w:style w:type="paragraph" w:styleId="1031" w:customStyle="1">
    <w:name w:val="TOC 标题111"/>
    <w:uiPriority w:val="39"/>
    <w:unhideWhenUsed/>
    <w:qFormat/>
    <w:rPr>
      <w:rFonts w:hint="default" w:ascii="Times New Roman" w:hAnsi="Times New Roman" w:eastAsia="宋体" w:cs="Times New Roman"/>
      <w:lang w:val="en-US" w:eastAsia="zh-CN" w:bidi="ar-SA"/>
    </w:rPr>
  </w:style>
  <w:style w:type="paragraph" w:styleId="1032" w:customStyle="1">
    <w:name w:val="标题 11"/>
    <w:basedOn w:val="767"/>
    <w:next w:val="767"/>
    <w:link w:val="1033"/>
    <w:uiPriority w:val="9"/>
    <w:qFormat/>
    <w:pPr>
      <w:keepLines/>
      <w:keepNext/>
      <w:spacing w:before="340" w:after="330" w:line="578" w:lineRule="atLeast"/>
      <w:outlineLvl w:val="0"/>
    </w:pPr>
    <w:rPr>
      <w:b/>
      <w:bCs/>
      <w:sz w:val="44"/>
      <w:szCs w:val="44"/>
      <w:lang w:eastAsia="en-US"/>
    </w:rPr>
  </w:style>
  <w:style w:type="character" w:styleId="1033" w:customStyle="1">
    <w:name w:val="标题 1 Char"/>
    <w:link w:val="1032"/>
    <w:uiPriority w:val="9"/>
    <w:qFormat/>
    <w:rPr>
      <w:b/>
      <w:bCs/>
      <w:sz w:val="44"/>
      <w:szCs w:val="44"/>
    </w:rPr>
  </w:style>
  <w:style w:type="paragraph" w:styleId="1034" w:customStyle="1">
    <w:name w:val="标题 21"/>
    <w:basedOn w:val="767"/>
    <w:next w:val="767"/>
    <w:link w:val="1035"/>
    <w:uiPriority w:val="9"/>
    <w:qFormat/>
    <w:pPr>
      <w:jc w:val="center"/>
      <w:keepLines/>
      <w:keepNext/>
      <w:spacing w:before="260" w:after="260" w:line="416" w:lineRule="auto"/>
      <w:outlineLvl w:val="1"/>
    </w:pPr>
    <w:rPr>
      <w:rFonts w:ascii="幼圆" w:hAnsi="Arial" w:eastAsia="楷体_GB2312"/>
      <w:b/>
      <w:sz w:val="24"/>
      <w:szCs w:val="20"/>
      <w:lang w:eastAsia="en-US"/>
    </w:rPr>
  </w:style>
  <w:style w:type="character" w:styleId="1035" w:customStyle="1">
    <w:name w:val="标题 2 Char"/>
    <w:link w:val="1034"/>
    <w:uiPriority w:val="9"/>
    <w:qFormat/>
    <w:rPr>
      <w:rFonts w:ascii="幼圆" w:hAnsi="Arial" w:eastAsia="楷体_GB2312" w:cs="Times New Roman"/>
      <w:b/>
      <w:sz w:val="24"/>
      <w:szCs w:val="20"/>
    </w:rPr>
  </w:style>
  <w:style w:type="paragraph" w:styleId="1036" w:customStyle="1">
    <w:name w:val="标题 31"/>
    <w:basedOn w:val="767"/>
    <w:next w:val="767"/>
    <w:link w:val="1037"/>
    <w:uiPriority w:val="9"/>
    <w:qFormat/>
    <w:pPr>
      <w:keepLines/>
      <w:keepNext/>
      <w:spacing w:before="260" w:after="260" w:line="416" w:lineRule="atLeast"/>
      <w:outlineLvl w:val="2"/>
    </w:pPr>
    <w:rPr>
      <w:b/>
      <w:bCs/>
      <w:sz w:val="32"/>
      <w:szCs w:val="32"/>
      <w:lang w:eastAsia="en-US"/>
    </w:rPr>
  </w:style>
  <w:style w:type="character" w:styleId="1037" w:customStyle="1">
    <w:name w:val="标题 3 Char"/>
    <w:link w:val="1036"/>
    <w:uiPriority w:val="9"/>
    <w:qFormat/>
    <w:rPr>
      <w:b/>
      <w:bCs/>
      <w:sz w:val="32"/>
      <w:szCs w:val="32"/>
    </w:rPr>
  </w:style>
  <w:style w:type="paragraph" w:styleId="1038" w:customStyle="1">
    <w:name w:val="标题 41"/>
    <w:basedOn w:val="767"/>
    <w:next w:val="767"/>
    <w:uiPriority w:val="0"/>
    <w:qFormat/>
    <w:pPr>
      <w:keepLines/>
      <w:keepNext/>
      <w:spacing w:before="280" w:after="290" w:line="376" w:lineRule="auto"/>
      <w:outlineLvl w:val="3"/>
    </w:pPr>
    <w:rPr>
      <w:rFonts w:ascii="Arial" w:hAnsi="Arial" w:eastAsia="黑体"/>
      <w:b/>
      <w:bCs/>
      <w:sz w:val="28"/>
      <w:szCs w:val="28"/>
    </w:rPr>
  </w:style>
  <w:style w:type="paragraph" w:styleId="1039" w:customStyle="1">
    <w:name w:val="标题 71"/>
    <w:basedOn w:val="767"/>
    <w:next w:val="767"/>
    <w:link w:val="1040"/>
    <w:uiPriority w:val="9"/>
    <w:qFormat/>
    <w:pPr>
      <w:keepLines/>
      <w:keepNext/>
      <w:spacing w:before="240" w:after="64" w:line="320" w:lineRule="atLeast"/>
      <w:outlineLvl w:val="6"/>
    </w:pPr>
    <w:rPr>
      <w:b/>
      <w:bCs/>
      <w:sz w:val="24"/>
      <w:szCs w:val="24"/>
      <w:lang w:eastAsia="en-US"/>
    </w:rPr>
  </w:style>
  <w:style w:type="character" w:styleId="1040" w:customStyle="1">
    <w:name w:val="标题 7 Char"/>
    <w:link w:val="1039"/>
    <w:uiPriority w:val="9"/>
    <w:semiHidden/>
    <w:qFormat/>
    <w:rPr>
      <w:b/>
      <w:bCs/>
      <w:sz w:val="24"/>
      <w:szCs w:val="24"/>
    </w:rPr>
  </w:style>
  <w:style w:type="character" w:styleId="1041" w:customStyle="1">
    <w:name w:val="默认段落字体11"/>
    <w:uiPriority w:val="1"/>
    <w:unhideWhenUsed/>
    <w:qFormat/>
  </w:style>
  <w:style w:type="table" w:styleId="1042" w:customStyle="1">
    <w:name w:val="普通表格1"/>
    <w:uiPriority w:val="99"/>
    <w:unhideWhenUsed/>
    <w:qFormat/>
    <w:tblPr>
      <w:tblCellMar>
        <w:left w:w="0" w:type="dxa"/>
        <w:top w:w="0" w:type="dxa"/>
        <w:right w:w="0" w:type="dxa"/>
        <w:bottom w:w="0" w:type="dxa"/>
      </w:tblCellMar>
    </w:tblPr>
  </w:style>
  <w:style w:type="paragraph" w:styleId="1043" w:customStyle="1">
    <w:name w:val="列表 31"/>
    <w:basedOn w:val="767"/>
    <w:uiPriority w:val="0"/>
    <w:qFormat/>
    <w:pPr>
      <w:ind w:left="100" w:hanging="200"/>
    </w:pPr>
    <w:rPr>
      <w:szCs w:val="21"/>
    </w:rPr>
  </w:style>
  <w:style w:type="paragraph" w:styleId="1044" w:customStyle="1">
    <w:name w:val="正文缩进1"/>
    <w:basedOn w:val="767"/>
    <w:link w:val="1045"/>
    <w:uiPriority w:val="0"/>
    <w:qFormat/>
    <w:pPr>
      <w:ind w:firstLine="420"/>
    </w:pPr>
    <w:rPr>
      <w:sz w:val="20"/>
      <w:szCs w:val="20"/>
      <w:lang w:eastAsia="en-US"/>
    </w:rPr>
  </w:style>
  <w:style w:type="character" w:styleId="1045" w:customStyle="1">
    <w:name w:val="正文缩进 Char"/>
    <w:link w:val="1044"/>
    <w:uiPriority w:val="0"/>
    <w:qFormat/>
    <w:rPr>
      <w:rFonts w:ascii="Times New Roman" w:hAnsi="Times New Roman" w:eastAsia="宋体" w:cs="Times New Roman"/>
      <w:szCs w:val="20"/>
    </w:rPr>
  </w:style>
  <w:style w:type="paragraph" w:styleId="1046" w:customStyle="1">
    <w:name w:val="批注文字1"/>
    <w:basedOn w:val="1047"/>
    <w:link w:val="1048"/>
    <w:uiPriority w:val="99"/>
    <w:unhideWhenUsed/>
    <w:qFormat/>
    <w:pPr>
      <w:jc w:val="left"/>
      <w:spacing w:line="360" w:lineRule="auto"/>
    </w:pPr>
    <w:rPr>
      <w:rFonts w:ascii="Times New Roman" w:hAnsi="Times New Roman"/>
      <w:sz w:val="24"/>
      <w:szCs w:val="24"/>
      <w:lang w:eastAsia="en-US"/>
    </w:rPr>
  </w:style>
  <w:style w:type="paragraph" w:styleId="1047" w:customStyle="1">
    <w:name w:val="Normal_13"/>
    <w:uiPriority w:val="0"/>
    <w:qFormat/>
    <w:pPr>
      <w:jc w:val="both"/>
      <w:widowControl w:val="off"/>
    </w:pPr>
    <w:rPr>
      <w:rFonts w:hint="default" w:ascii="Calibri" w:hAnsi="Calibri" w:eastAsia="宋体" w:cs="Times New Roman"/>
      <w:sz w:val="21"/>
      <w:szCs w:val="22"/>
      <w:lang w:val="en-US" w:eastAsia="zh-CN" w:bidi="ar-SA"/>
    </w:rPr>
  </w:style>
  <w:style w:type="character" w:styleId="1048" w:customStyle="1">
    <w:name w:val="批注文字 Char"/>
    <w:link w:val="1046"/>
    <w:uiPriority w:val="99"/>
    <w:qFormat/>
    <w:rPr>
      <w:rFonts w:ascii="Times New Roman" w:hAnsi="Times New Roman"/>
      <w:sz w:val="24"/>
      <w:szCs w:val="24"/>
    </w:rPr>
  </w:style>
  <w:style w:type="paragraph" w:styleId="1049" w:customStyle="1">
    <w:name w:val="正文文本2"/>
    <w:basedOn w:val="767"/>
    <w:next w:val="767"/>
    <w:link w:val="1050"/>
    <w:uiPriority w:val="0"/>
    <w:qFormat/>
    <w:rPr>
      <w:rFonts w:ascii="楷体_GB2312" w:hAnsi="Arial" w:eastAsia="楷体_GB2312"/>
      <w:sz w:val="28"/>
      <w:szCs w:val="20"/>
      <w:lang w:eastAsia="en-US"/>
    </w:rPr>
  </w:style>
  <w:style w:type="character" w:styleId="1050" w:customStyle="1">
    <w:name w:val="正文文本 Char"/>
    <w:link w:val="1049"/>
    <w:uiPriority w:val="0"/>
    <w:qFormat/>
    <w:rPr>
      <w:rFonts w:ascii="楷体_GB2312" w:hAnsi="Arial" w:eastAsia="楷体_GB2312" w:cs="Times New Roman"/>
      <w:sz w:val="28"/>
      <w:szCs w:val="20"/>
    </w:rPr>
  </w:style>
  <w:style w:type="paragraph" w:styleId="1051" w:customStyle="1">
    <w:name w:val="正文文本缩进1"/>
    <w:basedOn w:val="767"/>
    <w:link w:val="1052"/>
    <w:uiPriority w:val="99"/>
    <w:unhideWhenUsed/>
    <w:qFormat/>
    <w:pPr>
      <w:ind w:left="420"/>
      <w:spacing w:after="120"/>
    </w:pPr>
  </w:style>
  <w:style w:type="character" w:styleId="1052" w:customStyle="1">
    <w:name w:val="正文文本缩进 Char"/>
    <w:basedOn w:val="1041"/>
    <w:link w:val="1051"/>
    <w:uiPriority w:val="99"/>
    <w:semiHidden/>
    <w:qFormat/>
  </w:style>
  <w:style w:type="paragraph" w:styleId="1053" w:customStyle="1">
    <w:name w:val="列表接续1"/>
    <w:basedOn w:val="767"/>
    <w:uiPriority w:val="99"/>
    <w:unhideWhenUsed/>
    <w:qFormat/>
    <w:pPr>
      <w:contextualSpacing/>
      <w:ind w:left="420"/>
      <w:spacing w:after="120"/>
    </w:pPr>
  </w:style>
  <w:style w:type="paragraph" w:styleId="1054" w:customStyle="1">
    <w:name w:val="文本块1"/>
    <w:basedOn w:val="767"/>
    <w:uiPriority w:val="0"/>
    <w:qFormat/>
    <w:pPr>
      <w:ind w:left="630" w:right="630"/>
      <w:jc w:val="center"/>
    </w:pPr>
    <w:rPr>
      <w:rFonts w:ascii="宋体"/>
      <w:b/>
      <w:sz w:val="32"/>
      <w:szCs w:val="24"/>
    </w:rPr>
  </w:style>
  <w:style w:type="paragraph" w:styleId="1055" w:customStyle="1">
    <w:name w:val="目录 31"/>
    <w:basedOn w:val="767"/>
    <w:next w:val="767"/>
    <w:uiPriority w:val="39"/>
    <w:qFormat/>
    <w:pPr>
      <w:ind w:left="420"/>
      <w:jc w:val="left"/>
    </w:pPr>
    <w:rPr>
      <w:iCs/>
      <w:szCs w:val="24"/>
    </w:rPr>
  </w:style>
  <w:style w:type="paragraph" w:styleId="1056" w:customStyle="1">
    <w:name w:val="纯文本1"/>
    <w:basedOn w:val="767"/>
    <w:link w:val="1057"/>
    <w:uiPriority w:val="0"/>
    <w:qFormat/>
    <w:rPr>
      <w:rFonts w:ascii="宋体" w:hAnsi="Courier New"/>
      <w:sz w:val="20"/>
      <w:szCs w:val="21"/>
      <w:lang w:eastAsia="en-US"/>
    </w:rPr>
  </w:style>
  <w:style w:type="character" w:styleId="1057" w:customStyle="1">
    <w:name w:val="纯文本 Char1"/>
    <w:link w:val="1056"/>
    <w:uiPriority w:val="0"/>
    <w:qFormat/>
    <w:rPr>
      <w:rFonts w:ascii="宋体" w:hAnsi="Courier New" w:cs="Courier New"/>
      <w:szCs w:val="21"/>
    </w:rPr>
  </w:style>
  <w:style w:type="paragraph" w:styleId="1058" w:customStyle="1">
    <w:name w:val="日期1"/>
    <w:basedOn w:val="767"/>
    <w:next w:val="767"/>
    <w:link w:val="1059"/>
    <w:uiPriority w:val="0"/>
    <w:qFormat/>
    <w:pPr>
      <w:ind w:left="100"/>
    </w:pPr>
    <w:rPr>
      <w:rFonts w:ascii="仿宋_GB2312" w:eastAsia="仿宋_GB2312"/>
      <w:b/>
      <w:sz w:val="36"/>
      <w:szCs w:val="24"/>
      <w:lang w:eastAsia="en-US"/>
    </w:rPr>
  </w:style>
  <w:style w:type="character" w:styleId="1059" w:customStyle="1">
    <w:name w:val="日期 Char"/>
    <w:link w:val="1058"/>
    <w:uiPriority w:val="0"/>
    <w:qFormat/>
    <w:rPr>
      <w:rFonts w:ascii="仿宋_GB2312" w:hAnsi="Times New Roman" w:eastAsia="仿宋_GB2312" w:cs="Times New Roman"/>
      <w:b/>
      <w:sz w:val="36"/>
      <w:szCs w:val="24"/>
    </w:rPr>
  </w:style>
  <w:style w:type="paragraph" w:styleId="1060" w:customStyle="1">
    <w:name w:val="批注框文本1"/>
    <w:basedOn w:val="767"/>
    <w:link w:val="1061"/>
    <w:uiPriority w:val="99"/>
    <w:unhideWhenUsed/>
    <w:qFormat/>
    <w:rPr>
      <w:sz w:val="18"/>
      <w:szCs w:val="18"/>
      <w:lang w:eastAsia="en-US"/>
    </w:rPr>
  </w:style>
  <w:style w:type="character" w:styleId="1061" w:customStyle="1">
    <w:name w:val="批注框文本 Char"/>
    <w:link w:val="1060"/>
    <w:uiPriority w:val="99"/>
    <w:semiHidden/>
    <w:qFormat/>
    <w:rPr>
      <w:sz w:val="18"/>
      <w:szCs w:val="18"/>
    </w:rPr>
  </w:style>
  <w:style w:type="paragraph" w:styleId="1062" w:customStyle="1">
    <w:name w:val="页脚1"/>
    <w:basedOn w:val="767"/>
    <w:link w:val="1063"/>
    <w:uiPriority w:val="99"/>
    <w:unhideWhenUsed/>
    <w:qFormat/>
    <w:pPr>
      <w:jc w:val="left"/>
      <w:spacing w:line="240" w:lineRule="atLeast"/>
      <w:tabs>
        <w:tab w:val="center" w:pos="4153" w:leader="none"/>
        <w:tab w:val="right" w:pos="8306" w:leader="none"/>
      </w:tabs>
    </w:pPr>
    <w:rPr>
      <w:sz w:val="18"/>
      <w:szCs w:val="18"/>
      <w:lang w:eastAsia="en-US"/>
    </w:rPr>
  </w:style>
  <w:style w:type="character" w:styleId="1063" w:customStyle="1">
    <w:name w:val="页脚 Char"/>
    <w:link w:val="1062"/>
    <w:uiPriority w:val="99"/>
    <w:qFormat/>
    <w:rPr>
      <w:sz w:val="18"/>
      <w:szCs w:val="18"/>
    </w:rPr>
  </w:style>
  <w:style w:type="paragraph" w:styleId="1064" w:customStyle="1">
    <w:name w:val="页眉1"/>
    <w:basedOn w:val="767"/>
    <w:link w:val="1065"/>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character" w:styleId="1065" w:customStyle="1">
    <w:name w:val="页眉 Char"/>
    <w:link w:val="1064"/>
    <w:uiPriority w:val="99"/>
    <w:qFormat/>
    <w:rPr>
      <w:sz w:val="18"/>
      <w:szCs w:val="18"/>
    </w:rPr>
  </w:style>
  <w:style w:type="paragraph" w:styleId="1066" w:customStyle="1">
    <w:name w:val="目录 11"/>
    <w:basedOn w:val="767"/>
    <w:next w:val="767"/>
    <w:uiPriority w:val="39"/>
    <w:qFormat/>
    <w:pPr>
      <w:jc w:val="left"/>
      <w:spacing w:before="120" w:after="120"/>
    </w:pPr>
    <w:rPr>
      <w:rFonts w:ascii="楷体_GB2312"/>
      <w:b/>
      <w:bCs/>
      <w:caps/>
      <w:sz w:val="44"/>
      <w:szCs w:val="44"/>
    </w:rPr>
  </w:style>
  <w:style w:type="paragraph" w:styleId="1067" w:customStyle="1">
    <w:name w:val="正文文本缩进 31"/>
    <w:basedOn w:val="767"/>
    <w:link w:val="1068"/>
    <w:uiPriority w:val="99"/>
    <w:unhideWhenUsed/>
    <w:qFormat/>
    <w:pPr>
      <w:ind w:left="420"/>
      <w:spacing w:after="120"/>
    </w:pPr>
    <w:rPr>
      <w:sz w:val="16"/>
      <w:szCs w:val="16"/>
      <w:lang w:eastAsia="en-US"/>
    </w:rPr>
  </w:style>
  <w:style w:type="character" w:styleId="1068" w:customStyle="1">
    <w:name w:val="正文文本缩进 3 Char"/>
    <w:link w:val="1067"/>
    <w:uiPriority w:val="99"/>
    <w:semiHidden/>
    <w:qFormat/>
    <w:rPr>
      <w:sz w:val="16"/>
      <w:szCs w:val="16"/>
    </w:rPr>
  </w:style>
  <w:style w:type="paragraph" w:styleId="1069" w:customStyle="1">
    <w:name w:val="目录 21"/>
    <w:basedOn w:val="767"/>
    <w:next w:val="767"/>
    <w:uiPriority w:val="39"/>
    <w:unhideWhenUsed/>
    <w:qFormat/>
    <w:pPr>
      <w:ind w:left="200"/>
    </w:pPr>
  </w:style>
  <w:style w:type="paragraph" w:styleId="1070" w:customStyle="1">
    <w:name w:val="普通(网站)11"/>
    <w:basedOn w:val="767"/>
    <w:link w:val="1071"/>
    <w:uiPriority w:val="0"/>
    <w:qFormat/>
    <w:pPr>
      <w:jc w:val="left"/>
      <w:spacing w:before="100" w:beforeAutospacing="1" w:after="100" w:afterAutospacing="1"/>
      <w:widowControl/>
    </w:pPr>
    <w:rPr>
      <w:rFonts w:ascii="宋体" w:hAnsi="宋体"/>
      <w:color w:val="000000"/>
      <w:sz w:val="24"/>
      <w:szCs w:val="24"/>
      <w:lang w:eastAsia="en-US"/>
    </w:rPr>
  </w:style>
  <w:style w:type="character" w:styleId="1071" w:customStyle="1">
    <w:name w:val="普通(网站) Char"/>
    <w:link w:val="1070"/>
    <w:uiPriority w:val="0"/>
    <w:qFormat/>
    <w:rPr>
      <w:rFonts w:ascii="宋体" w:hAnsi="宋体" w:eastAsia="宋体" w:cs="宋体"/>
      <w:color w:val="000000"/>
      <w:sz w:val="24"/>
      <w:szCs w:val="24"/>
    </w:rPr>
  </w:style>
  <w:style w:type="table" w:styleId="1072" w:customStyle="1">
    <w:name w:val="网格型1"/>
    <w:basedOn w:val="1042"/>
    <w:uiPriority w:val="59"/>
    <w:qFormat/>
    <w:tblPr>
      <w:tblCellMar>
        <w:left w:w="0" w:type="dxa"/>
        <w:top w:w="0" w:type="dxa"/>
        <w:right w:w="0" w:type="dxa"/>
        <w:bottom w:w="0" w:type="dxa"/>
      </w:tblCellMar>
    </w:tblPr>
  </w:style>
  <w:style w:type="character" w:styleId="1073" w:customStyle="1">
    <w:name w:val="页码1"/>
    <w:basedOn w:val="1041"/>
    <w:uiPriority w:val="0"/>
    <w:qFormat/>
  </w:style>
  <w:style w:type="character" w:styleId="1074" w:customStyle="1">
    <w:name w:val="超链接1"/>
    <w:uiPriority w:val="99"/>
    <w:qFormat/>
    <w:rPr>
      <w:color w:val="0000ff"/>
      <w:u w:val="single"/>
    </w:rPr>
  </w:style>
  <w:style w:type="paragraph" w:styleId="1075" w:customStyle="1">
    <w:name w:val="列出段落1"/>
    <w:basedOn w:val="767"/>
    <w:uiPriority w:val="34"/>
    <w:qFormat/>
    <w:pPr>
      <w:ind w:firstLine="420"/>
    </w:pPr>
    <w:rPr>
      <w:rFonts w:ascii="等线" w:hAnsi="等线" w:eastAsia="等线" w:cs="宋体"/>
    </w:rPr>
  </w:style>
  <w:style w:type="character" w:styleId="1076" w:customStyle="1">
    <w:name w:val="htd0"/>
    <w:basedOn w:val="1041"/>
    <w:uiPriority w:val="0"/>
    <w:qFormat/>
  </w:style>
  <w:style w:type="paragraph" w:styleId="1077"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078" w:customStyle="1">
    <w:name w:val="正文缩进 Char3"/>
    <w:uiPriority w:val="0"/>
    <w:qFormat/>
    <w:rPr>
      <w:rFonts w:ascii="Times New Roman" w:hAnsi="Times New Roman" w:eastAsia="宋体" w:cs="Times New Roman"/>
      <w:szCs w:val="24"/>
    </w:rPr>
  </w:style>
  <w:style w:type="character" w:styleId="1079" w:customStyle="1">
    <w:name w:val="纯文本 Char"/>
    <w:uiPriority w:val="99"/>
    <w:semiHidden/>
    <w:qFormat/>
    <w:rPr>
      <w:rFonts w:ascii="宋体" w:hAnsi="Courier New" w:eastAsia="宋体" w:cs="Courier New"/>
      <w:szCs w:val="21"/>
    </w:rPr>
  </w:style>
  <w:style w:type="paragraph" w:styleId="1080" w:customStyle="1">
    <w:name w:val="Andy_正文格式"/>
    <w:basedOn w:val="767"/>
    <w:uiPriority w:val="0"/>
    <w:qFormat/>
    <w:pPr>
      <w:ind w:firstLine="560"/>
      <w:jc w:val="left"/>
    </w:pPr>
    <w:rPr>
      <w:rFonts w:ascii="仿宋_GB2312" w:eastAsia="仿宋_GB2312"/>
      <w:sz w:val="28"/>
      <w:szCs w:val="28"/>
    </w:rPr>
  </w:style>
  <w:style w:type="character" w:styleId="1081" w:customStyle="1">
    <w:name w:val="p141"/>
    <w:uiPriority w:val="0"/>
    <w:qFormat/>
    <w:rPr>
      <w:rFonts w:ascii="Calibri" w:hAnsi="Calibri" w:eastAsia="宋体" w:cs="宋体"/>
      <w:sz w:val="21"/>
      <w:szCs w:val="21"/>
      <w:lang w:val="en-US" w:eastAsia="zh-CN" w:bidi="ar-SA"/>
    </w:rPr>
  </w:style>
  <w:style w:type="paragraph" w:styleId="1082" w:customStyle="1">
    <w:name w:val="样式 宋体 五号 两端对齐 行距: 单倍行距"/>
    <w:basedOn w:val="767"/>
    <w:uiPriority w:val="0"/>
    <w:qFormat/>
    <w:pPr>
      <w:numPr>
        <w:ilvl w:val="0"/>
        <w:numId w:val="2"/>
      </w:numPr>
      <w:ind w:left="0" w:firstLine="0"/>
    </w:pPr>
    <w:rPr>
      <w:rFonts w:ascii="宋体" w:hAnsi="宋体" w:cs="宋体"/>
      <w:szCs w:val="20"/>
    </w:rPr>
  </w:style>
  <w:style w:type="paragraph" w:styleId="1083" w:customStyle="1">
    <w:name w:val="样式1"/>
    <w:basedOn w:val="767"/>
    <w:uiPriority w:val="0"/>
    <w:qFormat/>
    <w:pPr>
      <w:numPr>
        <w:ilvl w:val="1"/>
        <w:numId w:val="3"/>
      </w:numPr>
    </w:pPr>
    <w:rPr>
      <w:rFonts w:ascii="宋体" w:hAnsi="宋体"/>
      <w:szCs w:val="21"/>
    </w:rPr>
  </w:style>
  <w:style w:type="paragraph" w:styleId="1084" w:customStyle="1">
    <w:name w:val="Char"/>
    <w:basedOn w:val="767"/>
    <w:uiPriority w:val="0"/>
    <w:qFormat/>
    <w:pPr>
      <w:ind w:firstLine="200"/>
      <w:tabs>
        <w:tab w:val="left" w:pos="360" w:leader="none"/>
      </w:tabs>
    </w:pPr>
    <w:rPr>
      <w:sz w:val="28"/>
      <w:szCs w:val="30"/>
    </w:rPr>
  </w:style>
  <w:style w:type="paragraph" w:styleId="1085" w:customStyle="1">
    <w:name w:val="列出段落3"/>
    <w:basedOn w:val="767"/>
    <w:uiPriority w:val="99"/>
    <w:qFormat/>
    <w:pPr>
      <w:ind w:firstLine="420"/>
    </w:pPr>
    <w:rPr>
      <w:rFonts w:ascii="Calibri" w:hAnsi="Calibri"/>
    </w:rPr>
  </w:style>
  <w:style w:type="paragraph" w:styleId="1086" w:customStyle="1">
    <w:name w:val="列出段落11"/>
    <w:basedOn w:val="767"/>
    <w:uiPriority w:val="0"/>
    <w:qFormat/>
    <w:pPr>
      <w:ind w:firstLine="420"/>
    </w:pPr>
    <w:rPr>
      <w:szCs w:val="24"/>
    </w:rPr>
  </w:style>
  <w:style w:type="paragraph" w:styleId="108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8" w:customStyle="1">
    <w:name w:val="TOC 标题11"/>
    <w:basedOn w:val="1032"/>
    <w:next w:val="767"/>
    <w:uiPriority w:val="39"/>
    <w:unhideWhenUsed/>
    <w:qFormat/>
    <w:pPr>
      <w:jc w:val="left"/>
      <w:spacing w:before="240" w:after="0" w:line="259" w:lineRule="auto"/>
      <w:widowControl/>
      <w:outlineLvl w:val="9"/>
    </w:pPr>
    <w:rPr>
      <w:rFonts w:ascii="Cambria" w:hAnsi="Cambria"/>
      <w:b w:val="0"/>
      <w:bCs w:val="0"/>
      <w:color w:val="365f91"/>
      <w:sz w:val="32"/>
      <w:szCs w:val="32"/>
    </w:rPr>
  </w:style>
  <w:style w:type="character" w:styleId="1089" w:customStyle="1">
    <w:name w:val="htd0_0"/>
    <w:uiPriority w:val="0"/>
    <w:qFormat/>
    <w:rPr>
      <w:rFonts w:ascii="Times New Roman" w:hAnsi="Times New Roman" w:eastAsia="宋体" w:cs="Times New Roman"/>
    </w:rPr>
  </w:style>
  <w:style w:type="paragraph" w:styleId="1090" w:customStyle="1">
    <w:name w:val="Normal_1"/>
    <w:uiPriority w:val="0"/>
    <w:qFormat/>
    <w:pPr>
      <w:jc w:val="both"/>
      <w:widowControl w:val="off"/>
    </w:pPr>
    <w:rPr>
      <w:rFonts w:hint="default" w:ascii="Calibri" w:hAnsi="Calibri" w:eastAsia="宋体" w:cs="Times New Roman"/>
      <w:sz w:val="21"/>
      <w:szCs w:val="24"/>
      <w:lang w:val="en-US" w:eastAsia="zh-CN" w:bidi="ar-SA"/>
    </w:rPr>
  </w:style>
  <w:style w:type="character" w:styleId="1091" w:customStyle="1">
    <w:name w:val="titlebody"/>
    <w:uiPriority w:val="0"/>
    <w:qFormat/>
    <w:rPr>
      <w:rFonts w:ascii="宋体" w:hAnsi="宋体" w:eastAsia="宋体" w:cs="宋体"/>
      <w:b/>
      <w:bCs/>
      <w:color w:val="000000"/>
      <w:sz w:val="24"/>
      <w:szCs w:val="24"/>
    </w:rPr>
  </w:style>
  <w:style w:type="paragraph" w:styleId="1092"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93"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94"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095"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96"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97"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98"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099"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10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101"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102"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103"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104"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105"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106"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7"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108"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09"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110"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111"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112"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114"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115"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116"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117"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18"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120"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122"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124"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125"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26"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27"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28"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130"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132"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133"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136" w:customStyle="1">
    <w:name w:val="普通(网站)1"/>
    <w:basedOn w:val="767"/>
    <w:uiPriority w:val="0"/>
    <w:qFormat/>
    <w:pPr>
      <w:spacing w:before="100" w:beforeAutospacing="1" w:after="100" w:afterAutospacing="1"/>
    </w:pPr>
    <w:rPr>
      <w:rFonts w:ascii="宋体" w:hAnsi="宋体" w:cs="宋体"/>
      <w:color w:val="000000"/>
    </w:rPr>
  </w:style>
  <w:style w:type="paragraph" w:styleId="1137" w:customStyle="1">
    <w:name w:val="标题1"/>
    <w:basedOn w:val="767"/>
    <w:next w:val="767"/>
    <w:link w:val="1138"/>
    <w:uiPriority w:val="10"/>
    <w:qFormat/>
    <w:pPr>
      <w:jc w:val="center"/>
      <w:spacing w:before="240" w:after="60"/>
      <w:outlineLvl w:val="0"/>
    </w:pPr>
    <w:rPr>
      <w:rFonts w:ascii="Cambria" w:hAnsi="Cambria"/>
      <w:b/>
      <w:bCs/>
      <w:sz w:val="32"/>
      <w:szCs w:val="32"/>
    </w:rPr>
  </w:style>
  <w:style w:type="character" w:styleId="1138" w:customStyle="1">
    <w:name w:val="标题 Char"/>
    <w:link w:val="1137"/>
    <w:uiPriority w:val="0"/>
    <w:qFormat/>
    <w:rPr>
      <w:rFonts w:ascii="Cambria" w:hAnsi="Cambria" w:cs="Times New Roman"/>
      <w:b/>
      <w:bCs/>
      <w:sz w:val="32"/>
      <w:szCs w:val="32"/>
    </w:rPr>
  </w:style>
  <w:style w:type="paragraph" w:styleId="1139" w:customStyle="1">
    <w:name w:val="正文首行缩进1"/>
    <w:basedOn w:val="1049"/>
    <w:link w:val="1140"/>
    <w:uiPriority w:val="99"/>
    <w:unhideWhenUsed/>
    <w:qFormat/>
    <w:pPr>
      <w:ind w:firstLine="420"/>
      <w:spacing w:after="120"/>
    </w:pPr>
    <w:rPr>
      <w:rFonts w:ascii="Times New Roman" w:hAnsi="Times New Roman" w:eastAsia="宋体"/>
      <w:sz w:val="21"/>
      <w:szCs w:val="22"/>
      <w:lang w:eastAsia="zh-CN"/>
    </w:rPr>
  </w:style>
  <w:style w:type="character" w:styleId="1140" w:customStyle="1">
    <w:name w:val="正文首行缩进 Char"/>
    <w:link w:val="1139"/>
    <w:uiPriority w:val="99"/>
    <w:semiHidden/>
    <w:qFormat/>
    <w:rPr>
      <w:rFonts w:ascii="楷体_GB2312" w:hAnsi="Arial" w:eastAsia="楷体_GB2312" w:cs="Times New Roman"/>
      <w:sz w:val="21"/>
      <w:szCs w:val="22"/>
    </w:rPr>
  </w:style>
  <w:style w:type="paragraph" w:styleId="1141" w:customStyle="1">
    <w:name w:val="首行缩进"/>
    <w:basedOn w:val="767"/>
    <w:uiPriority w:val="0"/>
    <w:qFormat/>
    <w:pPr>
      <w:ind w:firstLine="480"/>
    </w:pPr>
    <w:rPr>
      <w:rFonts w:ascii="Calibri" w:hAnsi="Calibri"/>
      <w:szCs w:val="20"/>
      <w:lang w:val="zh-CN"/>
    </w:rPr>
  </w:style>
  <w:style w:type="paragraph" w:styleId="1142" w:customStyle="1">
    <w:name w:val="Footer1"/>
    <w:basedOn w:val="767"/>
    <w:link w:val="1143"/>
    <w:uiPriority w:val="0"/>
    <w:qFormat/>
    <w:pPr>
      <w:jc w:val="left"/>
      <w:widowControl/>
      <w:tabs>
        <w:tab w:val="center" w:pos="4153" w:leader="none"/>
        <w:tab w:val="right" w:pos="8306" w:leader="none"/>
      </w:tabs>
    </w:pPr>
    <w:rPr>
      <w:rFonts w:ascii="Arial" w:hAnsi="Arial" w:eastAsia="Arial"/>
      <w:color w:val="000000"/>
      <w:sz w:val="18"/>
      <w:szCs w:val="21"/>
      <w:lang w:eastAsia="en-US"/>
    </w:rPr>
  </w:style>
  <w:style w:type="character" w:styleId="1143" w:customStyle="1">
    <w:name w:val="页脚 字符"/>
    <w:link w:val="1142"/>
    <w:uiPriority w:val="0"/>
    <w:qFormat/>
    <w:rPr>
      <w:rFonts w:ascii="Arial" w:hAnsi="Arial" w:eastAsia="Arial" w:cs="Arial"/>
      <w:color w:val="000000"/>
      <w:sz w:val="18"/>
      <w:szCs w:val="21"/>
      <w:lang w:eastAsia="en-US"/>
    </w:rPr>
  </w:style>
  <w:style w:type="paragraph" w:styleId="1144" w:customStyle="1">
    <w:name w:val="Header1"/>
    <w:basedOn w:val="767"/>
    <w:link w:val="1145"/>
    <w:uiPriority w:val="0"/>
    <w:qFormat/>
    <w:pPr>
      <w:widowControl/>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Arial" w:hAnsi="Arial" w:eastAsia="Arial" w:cs="Arial"/>
      <w:color w:val="000000"/>
      <w:sz w:val="18"/>
      <w:szCs w:val="21"/>
      <w:lang w:eastAsia="en-US"/>
    </w:rPr>
  </w:style>
  <w:style w:type="character" w:styleId="1145" w:customStyle="1">
    <w:name w:val="页眉 字符"/>
    <w:link w:val="1144"/>
    <w:uiPriority w:val="0"/>
    <w:qFormat/>
    <w:rPr>
      <w:rFonts w:ascii="Arial" w:hAnsi="Arial" w:eastAsia="Arial" w:cs="Arial"/>
      <w:color w:val="000000"/>
      <w:sz w:val="18"/>
      <w:szCs w:val="21"/>
      <w:lang w:eastAsia="en-US"/>
    </w:rPr>
  </w:style>
  <w:style w:type="character" w:styleId="1146" w:customStyle="1">
    <w:name w:val="默认段落字体1"/>
    <w:uiPriority w:val="1"/>
    <w:unhideWhenUsed/>
    <w:qFormat/>
  </w:style>
  <w:style w:type="paragraph" w:styleId="1147" w:customStyle="1">
    <w:name w:val="Table Paragraph"/>
    <w:basedOn w:val="767"/>
    <w:uiPriority w:val="1"/>
    <w:qFormat/>
    <w:rPr>
      <w:rFonts w:ascii="宋体" w:hAnsi="宋体" w:cs="宋体"/>
      <w:lang w:val="zh-CN" w:bidi="zh-CN"/>
    </w:rPr>
  </w:style>
  <w:style w:type="paragraph" w:styleId="1148" w:customStyle="1">
    <w:name w:val="正文_0"/>
    <w:basedOn w:val="1106"/>
    <w:next w:val="1149"/>
    <w:uiPriority w:val="0"/>
    <w:qFormat/>
    <w:rPr>
      <w:rFonts w:ascii="Calibri" w:hAnsi="Calibri"/>
    </w:rPr>
  </w:style>
  <w:style w:type="paragraph" w:styleId="1149" w:customStyle="1">
    <w:name w:val="正文文本缩进_0"/>
    <w:basedOn w:val="1148"/>
    <w:uiPriority w:val="0"/>
    <w:qFormat/>
    <w:pPr>
      <w:ind w:firstLine="645"/>
    </w:pPr>
    <w:rPr>
      <w:rFonts w:ascii="楷体_GB2312" w:cs="宋体"/>
      <w:sz w:val="32"/>
      <w:szCs w:val="32"/>
    </w:rPr>
  </w:style>
  <w:style w:type="paragraph" w:styleId="1150" w:customStyle="1">
    <w:name w:val="_Style 5"/>
    <w:basedOn w:val="805"/>
    <w:next w:val="767"/>
    <w:uiPriority w:val="0"/>
    <w:qFormat/>
    <w:pPr>
      <w:spacing w:after="0" w:line="276" w:lineRule="auto"/>
      <w:widowControl/>
      <w:outlineLvl w:val="9"/>
    </w:pPr>
    <w:rPr>
      <w:rFonts w:ascii="Cambria" w:hAnsi="Cambria" w:eastAsia="宋体" w:cs="Times New Roman"/>
      <w:b/>
      <w:color w:val="365f91"/>
      <w:sz w:val="28"/>
      <w:szCs w:val="20"/>
    </w:rPr>
  </w:style>
  <w:style w:type="paragraph" w:styleId="1151" w:customStyle="1">
    <w:name w:val="正文文本缩进11"/>
    <w:basedOn w:val="767"/>
    <w:uiPriority w:val="0"/>
    <w:qFormat/>
    <w:pPr>
      <w:ind w:firstLine="645"/>
    </w:pPr>
    <w:rPr>
      <w:rFonts w:ascii="楷体_GB2312" w:hAnsi="等线" w:eastAsia="楷体_GB2312" w:cs="Arial"/>
      <w:sz w:val="32"/>
    </w:rPr>
  </w:style>
  <w:style w:type="character" w:styleId="1152" w:customStyle="1">
    <w:name w:val="正文缩进 Char1"/>
    <w:link w:val="779"/>
    <w:uiPriority w:val="0"/>
    <w:qFormat/>
    <w:rPr>
      <w:szCs w:val="24"/>
    </w:rPr>
  </w:style>
  <w:style w:type="paragraph" w:styleId="1153" w:customStyle="1">
    <w:name w:val="_Style 4"/>
    <w:basedOn w:val="805"/>
    <w:next w:val="767"/>
    <w:uiPriority w:val="0"/>
    <w:qFormat/>
    <w:pPr>
      <w:outlineLvl w:val="9"/>
    </w:pPr>
  </w:style>
  <w:style w:type="paragraph" w:styleId="1154" w:customStyle="1">
    <w:name w:val="索引 41"/>
    <w:basedOn w:val="767"/>
    <w:next w:val="767"/>
    <w:uiPriority w:val="0"/>
    <w:unhideWhenUsed/>
    <w:qFormat/>
    <w:pPr>
      <w:ind w:left="600"/>
    </w:pPr>
  </w:style>
  <w:style w:type="table" w:styleId="1155" w:customStyle="1">
    <w:name w:val="Table Normal"/>
    <w:uiPriority w:val="0"/>
    <w:qFormat/>
    <w:tblPr>
      <w:tblCellMar>
        <w:left w:w="0" w:type="dxa"/>
        <w:top w:w="0" w:type="dxa"/>
        <w:right w:w="0" w:type="dxa"/>
        <w:bottom w:w="0" w:type="dxa"/>
      </w:tblCellMar>
    </w:tblPr>
  </w:style>
  <w:style w:type="paragraph" w:styleId="1156" w:customStyle="1">
    <w:name w:val="正文文本缩进 311"/>
    <w:basedOn w:val="767"/>
    <w:uiPriority w:val="0"/>
    <w:qFormat/>
    <w:pPr>
      <w:ind w:left="520" w:firstLine="425"/>
      <w:jc w:val="center"/>
    </w:pPr>
    <w:rPr>
      <w:rFonts w:ascii="方正行楷简体" w:hAnsi="Arial" w:eastAsia="方正行楷简体" w:cs="Arial"/>
      <w:sz w:val="36"/>
      <w:szCs w:val="22"/>
    </w:rPr>
  </w:style>
  <w:style w:type="character" w:styleId="1157" w:customStyle="1">
    <w:name w:val="页码11"/>
    <w:basedOn w:val="1041"/>
    <w:uiPriority w:val="0"/>
    <w:qFormat/>
  </w:style>
  <w:style w:type="numbering" w:styleId="1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yperlink" Target="http://jszfcg.jsczt.cn/jszc/login&#33719;&#21462;&#30923;&#21830;&#25991;&#20214;&#65292;&#24182;&#20110;202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凝睿</dc:creator>
  <cp:lastModifiedBy>杜笑</cp:lastModifiedBy>
  <cp:revision>46</cp:revision>
  <dcterms:created xsi:type="dcterms:W3CDTF">2022-11-02T01:13:00Z</dcterms:created>
  <dcterms:modified xsi:type="dcterms:W3CDTF">2026-04-10T07:23:07Z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eyJoZGlkIjoiNDc5MTMyOTcxMmFkYmQ0MTE0MTc4NzdlY2JmMTA2MzkiLCJ1c2VySWQiOiIxMzg0ODI2MDkxIn0=</vt:lpwstr>
  </property>
  <property fmtid="{D5CDD505-2E9C-101B-9397-08002B2CF9AE}" pid="3" name="KSOProductBuildVer">
    <vt:lpwstr>2052-12.1.0.25225</vt:lpwstr>
  </property>
  <property fmtid="{D5CDD505-2E9C-101B-9397-08002B2CF9AE}" pid="4" name="ICV">
    <vt:lpwstr>84CB5BA6B31646E58670A0CB194EF3BB_13</vt:lpwstr>
  </property>
</Properties>
</file>